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EEE" w:rsidRPr="00564EEE" w:rsidRDefault="00564EEE">
      <w:pPr>
        <w:pStyle w:val="ConsPlusNormal"/>
        <w:jc w:val="center"/>
      </w:pPr>
    </w:p>
    <w:p w:rsidR="00564EEE" w:rsidRPr="00564EEE" w:rsidRDefault="00564EEE">
      <w:pPr>
        <w:pStyle w:val="ConsPlusTitle"/>
        <w:jc w:val="center"/>
      </w:pPr>
      <w:r w:rsidRPr="00564EEE">
        <w:t>МИНИСТЕРСТВО ПРОМЫШЛЕННОСТИ И ЭНЕРГЕТИКИ</w:t>
      </w:r>
    </w:p>
    <w:p w:rsidR="00564EEE" w:rsidRPr="00564EEE" w:rsidRDefault="00564EEE">
      <w:pPr>
        <w:pStyle w:val="ConsPlusTitle"/>
        <w:jc w:val="center"/>
      </w:pPr>
      <w:r w:rsidRPr="00564EEE">
        <w:t>РОССИЙСКОЙ ФЕДЕРАЦИИ</w:t>
      </w:r>
    </w:p>
    <w:p w:rsidR="00564EEE" w:rsidRPr="00564EEE" w:rsidRDefault="00564EEE">
      <w:pPr>
        <w:pStyle w:val="ConsPlusTitle"/>
        <w:jc w:val="center"/>
      </w:pPr>
    </w:p>
    <w:p w:rsidR="00564EEE" w:rsidRPr="00564EEE" w:rsidRDefault="00564EEE">
      <w:pPr>
        <w:pStyle w:val="ConsPlusTitle"/>
        <w:jc w:val="center"/>
      </w:pPr>
      <w:r w:rsidRPr="00564EEE">
        <w:t>ПРИКАЗ</w:t>
      </w:r>
    </w:p>
    <w:p w:rsidR="00564EEE" w:rsidRPr="00564EEE" w:rsidRDefault="00564EEE">
      <w:pPr>
        <w:pStyle w:val="ConsPlusTitle"/>
        <w:jc w:val="center"/>
      </w:pPr>
      <w:r w:rsidRPr="00564EEE">
        <w:t>от 30 апреля 2008 г. N 216</w:t>
      </w:r>
    </w:p>
    <w:p w:rsidR="00564EEE" w:rsidRPr="00564EEE" w:rsidRDefault="00564EEE">
      <w:pPr>
        <w:pStyle w:val="ConsPlusTitle"/>
        <w:jc w:val="center"/>
      </w:pPr>
    </w:p>
    <w:p w:rsidR="00564EEE" w:rsidRPr="00564EEE" w:rsidRDefault="00564EEE">
      <w:pPr>
        <w:pStyle w:val="ConsPlusTitle"/>
        <w:jc w:val="center"/>
      </w:pPr>
      <w:r w:rsidRPr="00564EEE">
        <w:t>ОБ УТВЕРЖДЕНИИ МЕТОДИЧЕСКИХ РЕКОМЕНДАЦИЙ</w:t>
      </w:r>
    </w:p>
    <w:p w:rsidR="00564EEE" w:rsidRPr="00564EEE" w:rsidRDefault="00564EEE">
      <w:pPr>
        <w:pStyle w:val="ConsPlusTitle"/>
        <w:jc w:val="center"/>
      </w:pPr>
      <w:r w:rsidRPr="00564EEE">
        <w:t>ПО ОПРЕДЕЛЕНИЮ ПРЕДВАРИТЕЛЬНЫХ ПАРАМЕТРОВ ВЫДАЧИ МОЩНОСТИ</w:t>
      </w:r>
    </w:p>
    <w:p w:rsidR="00564EEE" w:rsidRPr="00564EEE" w:rsidRDefault="00564EEE">
      <w:pPr>
        <w:pStyle w:val="ConsPlusTitle"/>
        <w:jc w:val="center"/>
      </w:pPr>
      <w:r w:rsidRPr="00564EEE">
        <w:t>СТРОЯЩИХСЯ (РЕКОНСТРУИРУЕМЫХ) ГЕН</w:t>
      </w:r>
      <w:bookmarkStart w:id="0" w:name="_GoBack"/>
      <w:bookmarkEnd w:id="0"/>
      <w:r w:rsidRPr="00564EEE">
        <w:t>ЕРИРУЮЩИХ ОБЪЕКТОВ</w:t>
      </w:r>
    </w:p>
    <w:p w:rsidR="00564EEE" w:rsidRPr="00564EEE" w:rsidRDefault="00564EEE">
      <w:pPr>
        <w:pStyle w:val="ConsPlusTitle"/>
        <w:jc w:val="center"/>
      </w:pPr>
      <w:r w:rsidRPr="00564EEE">
        <w:t>В УСЛОВИЯХ НОРМАЛЬНЫХ РЕЖИМОВ ФУНКЦИОНИРОВАНИЯ</w:t>
      </w:r>
    </w:p>
    <w:p w:rsidR="00564EEE" w:rsidRPr="00564EEE" w:rsidRDefault="00564EEE">
      <w:pPr>
        <w:pStyle w:val="ConsPlusTitle"/>
        <w:jc w:val="center"/>
      </w:pPr>
      <w:r w:rsidRPr="00564EEE">
        <w:t xml:space="preserve">ЭНЕРГОСИСТЕМЫ, </w:t>
      </w:r>
      <w:proofErr w:type="gramStart"/>
      <w:r w:rsidRPr="00564EEE">
        <w:t>УЧИТЫВАЕМЫХ</w:t>
      </w:r>
      <w:proofErr w:type="gramEnd"/>
      <w:r w:rsidRPr="00564EEE">
        <w:t xml:space="preserve"> ПРИ ОПРЕДЕЛЕНИИ</w:t>
      </w:r>
    </w:p>
    <w:p w:rsidR="00564EEE" w:rsidRPr="00564EEE" w:rsidRDefault="00564EEE">
      <w:pPr>
        <w:pStyle w:val="ConsPlusTitle"/>
        <w:jc w:val="center"/>
      </w:pPr>
      <w:r w:rsidRPr="00564EEE">
        <w:t>ПЛАТЫ ЗА ТЕХНОЛОГИЧЕСКОЕ ПРИСОЕДИНЕНИЕ</w:t>
      </w:r>
    </w:p>
    <w:p w:rsidR="00564EEE" w:rsidRPr="00564EEE" w:rsidRDefault="00564EEE">
      <w:pPr>
        <w:pStyle w:val="ConsPlusTitle"/>
        <w:jc w:val="center"/>
      </w:pPr>
      <w:r w:rsidRPr="00564EEE">
        <w:t>ТАКИХ ГЕНЕРИРУЮЩИХ ОБЪЕКТОВ К ОБЪЕКТАМ</w:t>
      </w:r>
    </w:p>
    <w:p w:rsidR="00564EEE" w:rsidRPr="00564EEE" w:rsidRDefault="00564EEE">
      <w:pPr>
        <w:pStyle w:val="ConsPlusTitle"/>
        <w:jc w:val="center"/>
      </w:pPr>
      <w:r w:rsidRPr="00564EEE">
        <w:t>ЭЛЕКТРОСЕТЕВОГО ХОЗЯЙСТВА</w:t>
      </w:r>
    </w:p>
    <w:p w:rsidR="00564EEE" w:rsidRPr="00564EEE" w:rsidRDefault="00564EEE">
      <w:pPr>
        <w:pStyle w:val="ConsPlusNormal"/>
      </w:pPr>
    </w:p>
    <w:p w:rsidR="00564EEE" w:rsidRPr="00564EEE" w:rsidRDefault="00564EEE">
      <w:pPr>
        <w:pStyle w:val="ConsPlusNormal"/>
        <w:ind w:firstLine="540"/>
        <w:jc w:val="both"/>
      </w:pPr>
      <w:proofErr w:type="gramStart"/>
      <w:r w:rsidRPr="00564EEE">
        <w:t>В соответствии с Положением о Министерстве промышленности и энергетики Российской Федерации, утвержденным Постановлением Правительства Российской Федерации от 16 июня 2004 г. N 284 (Собрание законодательства Российской Федерации, 2004, N 25, ст. 2566; N 38, ст. 3803; 2005, N 5, ст. 390; 2008, N 10 (часть II), ст. 936; N 13, ст. 1309), приказываю:</w:t>
      </w:r>
      <w:proofErr w:type="gramEnd"/>
    </w:p>
    <w:p w:rsidR="00564EEE" w:rsidRPr="00564EEE" w:rsidRDefault="00564EEE">
      <w:pPr>
        <w:pStyle w:val="ConsPlusNormal"/>
        <w:ind w:firstLine="540"/>
        <w:jc w:val="both"/>
      </w:pPr>
      <w:r w:rsidRPr="00564EEE">
        <w:t>1. Утвердить прилагаемые Методические рекомендации по определению предварительных параметров выдачи мощности строящихся (реконструируемых) генерирующих объектов в условиях нормальных режимов функционирования энергосистемы, учитываемых при определении платы за технологическое присоединение таких генерирующих объектов к объектам электросетевого хозяйства.</w:t>
      </w:r>
    </w:p>
    <w:p w:rsidR="00564EEE" w:rsidRPr="00564EEE" w:rsidRDefault="00564EEE">
      <w:pPr>
        <w:pStyle w:val="ConsPlusNormal"/>
        <w:ind w:firstLine="540"/>
        <w:jc w:val="both"/>
      </w:pPr>
      <w:r w:rsidRPr="00564EEE">
        <w:t xml:space="preserve">2. </w:t>
      </w:r>
      <w:proofErr w:type="gramStart"/>
      <w:r w:rsidRPr="00564EEE">
        <w:t>Контроль за</w:t>
      </w:r>
      <w:proofErr w:type="gramEnd"/>
      <w:r w:rsidRPr="00564EEE">
        <w:t xml:space="preserve"> исполнением настоящего Приказа возложить на заместителя Министра А.В. Дементьева.</w:t>
      </w:r>
    </w:p>
    <w:p w:rsidR="00564EEE" w:rsidRPr="00564EEE" w:rsidRDefault="00564EEE">
      <w:pPr>
        <w:pStyle w:val="ConsPlusNormal"/>
        <w:ind w:firstLine="540"/>
        <w:jc w:val="both"/>
      </w:pPr>
    </w:p>
    <w:p w:rsidR="00564EEE" w:rsidRPr="00564EEE" w:rsidRDefault="00564EEE">
      <w:pPr>
        <w:pStyle w:val="ConsPlusNormal"/>
        <w:jc w:val="right"/>
      </w:pPr>
      <w:r w:rsidRPr="00564EEE">
        <w:t>Министр</w:t>
      </w:r>
    </w:p>
    <w:p w:rsidR="00564EEE" w:rsidRPr="00564EEE" w:rsidRDefault="00564EEE">
      <w:pPr>
        <w:pStyle w:val="ConsPlusNormal"/>
        <w:jc w:val="right"/>
      </w:pPr>
      <w:r w:rsidRPr="00564EEE">
        <w:t>В.Б.ХРИСТЕНКО</w:t>
      </w:r>
    </w:p>
    <w:p w:rsidR="00564EEE" w:rsidRPr="00564EEE" w:rsidRDefault="00564EEE">
      <w:pPr>
        <w:pStyle w:val="ConsPlusNormal"/>
        <w:jc w:val="right"/>
      </w:pPr>
    </w:p>
    <w:p w:rsidR="00564EEE" w:rsidRPr="00564EEE" w:rsidRDefault="00564EEE">
      <w:pPr>
        <w:pStyle w:val="ConsPlusNormal"/>
        <w:jc w:val="right"/>
      </w:pPr>
    </w:p>
    <w:p w:rsidR="00564EEE" w:rsidRPr="00564EEE" w:rsidRDefault="00564EEE">
      <w:pPr>
        <w:pStyle w:val="ConsPlusNormal"/>
        <w:jc w:val="right"/>
      </w:pPr>
    </w:p>
    <w:p w:rsidR="00564EEE" w:rsidRPr="00564EEE" w:rsidRDefault="00564EEE">
      <w:pPr>
        <w:pStyle w:val="ConsPlusNormal"/>
        <w:jc w:val="right"/>
      </w:pPr>
    </w:p>
    <w:p w:rsidR="00564EEE" w:rsidRPr="00564EEE" w:rsidRDefault="00564EEE">
      <w:pPr>
        <w:pStyle w:val="ConsPlusNormal"/>
        <w:jc w:val="right"/>
      </w:pPr>
    </w:p>
    <w:p w:rsidR="00564EEE" w:rsidRPr="00564EEE" w:rsidRDefault="00564EEE">
      <w:pPr>
        <w:pStyle w:val="ConsPlusNormal"/>
        <w:jc w:val="right"/>
      </w:pPr>
      <w:r w:rsidRPr="00564EEE">
        <w:t>Утверждены</w:t>
      </w:r>
    </w:p>
    <w:p w:rsidR="00564EEE" w:rsidRPr="00564EEE" w:rsidRDefault="00564EEE">
      <w:pPr>
        <w:pStyle w:val="ConsPlusNormal"/>
        <w:jc w:val="right"/>
      </w:pPr>
      <w:r w:rsidRPr="00564EEE">
        <w:t xml:space="preserve">Приказом </w:t>
      </w:r>
      <w:proofErr w:type="spellStart"/>
      <w:r w:rsidRPr="00564EEE">
        <w:t>Минпромэнерго</w:t>
      </w:r>
      <w:proofErr w:type="spellEnd"/>
      <w:r w:rsidRPr="00564EEE">
        <w:t xml:space="preserve"> России</w:t>
      </w:r>
    </w:p>
    <w:p w:rsidR="00564EEE" w:rsidRPr="00564EEE" w:rsidRDefault="00564EEE">
      <w:pPr>
        <w:pStyle w:val="ConsPlusNormal"/>
        <w:jc w:val="right"/>
      </w:pPr>
      <w:r w:rsidRPr="00564EEE">
        <w:t>от 30 апреля 2008 г. N 216</w:t>
      </w:r>
    </w:p>
    <w:p w:rsidR="00564EEE" w:rsidRPr="00564EEE" w:rsidRDefault="00564EEE">
      <w:pPr>
        <w:pStyle w:val="ConsPlusNormal"/>
        <w:jc w:val="right"/>
      </w:pPr>
    </w:p>
    <w:p w:rsidR="00564EEE" w:rsidRPr="00564EEE" w:rsidRDefault="00564EEE">
      <w:pPr>
        <w:pStyle w:val="ConsPlusTitle"/>
        <w:jc w:val="center"/>
      </w:pPr>
      <w:bookmarkStart w:id="1" w:name="P31"/>
      <w:bookmarkEnd w:id="1"/>
      <w:r w:rsidRPr="00564EEE">
        <w:t>МЕТОДИЧЕСКИЕ РЕКОМЕНДАЦИИ</w:t>
      </w:r>
    </w:p>
    <w:p w:rsidR="00564EEE" w:rsidRPr="00564EEE" w:rsidRDefault="00564EEE">
      <w:pPr>
        <w:pStyle w:val="ConsPlusTitle"/>
        <w:jc w:val="center"/>
      </w:pPr>
      <w:r w:rsidRPr="00564EEE">
        <w:t>ПО ОПРЕДЕЛЕНИЮ ПРЕДВАРИТЕЛЬНЫХ ПАРАМЕТРОВ ВЫДАЧИ МОЩНОСТИ</w:t>
      </w:r>
    </w:p>
    <w:p w:rsidR="00564EEE" w:rsidRPr="00564EEE" w:rsidRDefault="00564EEE">
      <w:pPr>
        <w:pStyle w:val="ConsPlusTitle"/>
        <w:jc w:val="center"/>
      </w:pPr>
      <w:r w:rsidRPr="00564EEE">
        <w:t>СТРОЯЩИХСЯ (РЕКОНСТРУИРУЕМЫХ) ГЕНЕРИРУЮЩИХ ОБЪЕКТОВ</w:t>
      </w:r>
    </w:p>
    <w:p w:rsidR="00564EEE" w:rsidRPr="00564EEE" w:rsidRDefault="00564EEE">
      <w:pPr>
        <w:pStyle w:val="ConsPlusTitle"/>
        <w:jc w:val="center"/>
      </w:pPr>
      <w:r w:rsidRPr="00564EEE">
        <w:t>В УСЛОВИЯХ НОРМАЛЬНЫХ РЕЖИМОВ ФУНКЦИОНИРОВАНИЯ</w:t>
      </w:r>
    </w:p>
    <w:p w:rsidR="00564EEE" w:rsidRPr="00564EEE" w:rsidRDefault="00564EEE">
      <w:pPr>
        <w:pStyle w:val="ConsPlusTitle"/>
        <w:jc w:val="center"/>
      </w:pPr>
      <w:r w:rsidRPr="00564EEE">
        <w:t xml:space="preserve">ЭНЕРГОСИСТЕМЫ, </w:t>
      </w:r>
      <w:proofErr w:type="gramStart"/>
      <w:r w:rsidRPr="00564EEE">
        <w:t>УЧИТЫВАЕМЫХ</w:t>
      </w:r>
      <w:proofErr w:type="gramEnd"/>
      <w:r w:rsidRPr="00564EEE">
        <w:t xml:space="preserve"> ПРИ ОПРЕДЕЛЕНИИ</w:t>
      </w:r>
    </w:p>
    <w:p w:rsidR="00564EEE" w:rsidRPr="00564EEE" w:rsidRDefault="00564EEE">
      <w:pPr>
        <w:pStyle w:val="ConsPlusTitle"/>
        <w:jc w:val="center"/>
      </w:pPr>
      <w:r w:rsidRPr="00564EEE">
        <w:t>ПЛАТЫ ЗА ТЕХНОЛОГИЧЕСКОЕ ПРИСОЕДИНЕНИЕ</w:t>
      </w:r>
    </w:p>
    <w:p w:rsidR="00564EEE" w:rsidRPr="00564EEE" w:rsidRDefault="00564EEE">
      <w:pPr>
        <w:pStyle w:val="ConsPlusTitle"/>
        <w:jc w:val="center"/>
      </w:pPr>
      <w:r w:rsidRPr="00564EEE">
        <w:t>ТАКИХ ГЕНЕРИРУЮЩИХ ОБЪЕКТОВ К ОБЪЕКТАМ</w:t>
      </w:r>
    </w:p>
    <w:p w:rsidR="00564EEE" w:rsidRPr="00564EEE" w:rsidRDefault="00564EEE">
      <w:pPr>
        <w:pStyle w:val="ConsPlusTitle"/>
        <w:jc w:val="center"/>
      </w:pPr>
      <w:r w:rsidRPr="00564EEE">
        <w:t>ЭЛЕКТРОСЕТЕВОГО ХОЗЯЙСТВА</w:t>
      </w:r>
    </w:p>
    <w:p w:rsidR="00564EEE" w:rsidRPr="00564EEE" w:rsidRDefault="00564EEE">
      <w:pPr>
        <w:pStyle w:val="ConsPlusNormal"/>
        <w:jc w:val="center"/>
      </w:pPr>
    </w:p>
    <w:p w:rsidR="00564EEE" w:rsidRPr="00564EEE" w:rsidRDefault="00564EEE">
      <w:pPr>
        <w:pStyle w:val="ConsPlusNormal"/>
        <w:jc w:val="center"/>
      </w:pPr>
      <w:r w:rsidRPr="00564EEE">
        <w:t>I. Общие положения</w:t>
      </w:r>
    </w:p>
    <w:p w:rsidR="00564EEE" w:rsidRPr="00564EEE" w:rsidRDefault="00564EEE">
      <w:pPr>
        <w:pStyle w:val="ConsPlusNormal"/>
        <w:jc w:val="center"/>
      </w:pPr>
    </w:p>
    <w:p w:rsidR="00564EEE" w:rsidRPr="00564EEE" w:rsidRDefault="00564EEE">
      <w:pPr>
        <w:pStyle w:val="ConsPlusNormal"/>
        <w:ind w:firstLine="540"/>
        <w:jc w:val="both"/>
      </w:pPr>
      <w:r w:rsidRPr="00564EEE">
        <w:t xml:space="preserve">1. </w:t>
      </w:r>
      <w:proofErr w:type="gramStart"/>
      <w:r w:rsidRPr="00564EEE">
        <w:t xml:space="preserve">Настоящие Методические рекомендации (далее - Методические рекомендации) устанавливают порядок определения предварительных параметров выдачи мощности строящихся (реконструируемых) генерирующих объектов в условиях нормальных режимов функционирования энергосистемы, учитываемых при определении платы за технологическое </w:t>
      </w:r>
      <w:r w:rsidRPr="00564EEE">
        <w:lastRenderedPageBreak/>
        <w:t>присоединение таких генерирующих объектов к объектам электросетевого хозяйства (далее - предварительные параметры), который рекомендуется к применению сетевым организациям и лицам, обращающимся к сетевым организациям с заявками на технологическое присоединение строящихся (реконструируемых) генерирующих</w:t>
      </w:r>
      <w:proofErr w:type="gramEnd"/>
      <w:r w:rsidRPr="00564EEE">
        <w:t xml:space="preserve"> объектов к объектам электросетевого хозяйства (далее - заявители), при определении предварительных параметров вне зависимости от типа генерирующих объектов и формы собственности на эти объекты, кроме случаев, когда протяженность линий электропередачи от предполагаемого места расположения генерирующего объекта до ближайшей узловой подстанции превышает максимальную протяженность линий, установленную приложением 1 к настоящим Методическим рекомендациям.</w:t>
      </w:r>
    </w:p>
    <w:p w:rsidR="00564EEE" w:rsidRPr="00564EEE" w:rsidRDefault="00564EEE">
      <w:pPr>
        <w:pStyle w:val="ConsPlusNormal"/>
        <w:ind w:firstLine="540"/>
        <w:jc w:val="both"/>
      </w:pPr>
      <w:r w:rsidRPr="00564EEE">
        <w:t xml:space="preserve">Настоящие Методические рекомендации не распространяются на порядок определения параметров схем выдачи мощности строящихся (реконструируемых) генерирующих объектов, разрабатываемых заявителями, сетевыми организациями или привлеченными ими лицами для обеспечения выдачи мощности генерирующих объектов, определения технических условий их технологического присоединения к объектам электросетевого хозяйства и обеспечения надежного функционирования объектов </w:t>
      </w:r>
      <w:proofErr w:type="gramStart"/>
      <w:r w:rsidRPr="00564EEE">
        <w:t>электроэнергетики</w:t>
      </w:r>
      <w:proofErr w:type="gramEnd"/>
      <w:r w:rsidRPr="00564EEE">
        <w:t xml:space="preserve"> в зоне расположения данных генерирующих объектов.</w:t>
      </w:r>
    </w:p>
    <w:p w:rsidR="00564EEE" w:rsidRPr="00564EEE" w:rsidRDefault="00564EEE">
      <w:pPr>
        <w:pStyle w:val="ConsPlusNormal"/>
        <w:ind w:firstLine="540"/>
        <w:jc w:val="both"/>
      </w:pPr>
      <w:r w:rsidRPr="00564EEE">
        <w:t>2. В Методических рекомендациях используются следующие понятия и обозначения:</w:t>
      </w:r>
    </w:p>
    <w:p w:rsidR="00564EEE" w:rsidRPr="00564EEE" w:rsidRDefault="00564EEE">
      <w:pPr>
        <w:pStyle w:val="ConsPlusNormal"/>
        <w:ind w:firstLine="540"/>
        <w:jc w:val="both"/>
      </w:pPr>
      <w:r w:rsidRPr="00564EEE">
        <w:t>ЛЭП - линия электропередачи;</w:t>
      </w:r>
    </w:p>
    <w:p w:rsidR="00564EEE" w:rsidRPr="00564EEE" w:rsidRDefault="00564EEE">
      <w:pPr>
        <w:pStyle w:val="ConsPlusNormal"/>
        <w:ind w:firstLine="540"/>
        <w:jc w:val="both"/>
      </w:pPr>
      <w:proofErr w:type="gramStart"/>
      <w:r w:rsidRPr="00564EEE">
        <w:t>ВЛ</w:t>
      </w:r>
      <w:proofErr w:type="gramEnd"/>
      <w:r w:rsidRPr="00564EEE">
        <w:t xml:space="preserve"> - воздушная линия электропередачи;</w:t>
      </w:r>
    </w:p>
    <w:p w:rsidR="00564EEE" w:rsidRPr="00564EEE" w:rsidRDefault="00564EEE">
      <w:pPr>
        <w:pStyle w:val="ConsPlusNormal"/>
        <w:ind w:firstLine="540"/>
        <w:jc w:val="both"/>
      </w:pPr>
      <w:r w:rsidRPr="00564EEE">
        <w:t>КЛ - кабельная линия электропередачи;</w:t>
      </w:r>
    </w:p>
    <w:p w:rsidR="00564EEE" w:rsidRPr="00564EEE" w:rsidRDefault="00564EEE">
      <w:pPr>
        <w:pStyle w:val="ConsPlusNormal"/>
        <w:ind w:firstLine="540"/>
        <w:jc w:val="both"/>
      </w:pPr>
      <w:r w:rsidRPr="00564EEE">
        <w:t>КВЛ - кабельно-воздушная линия электропередачи;</w:t>
      </w:r>
    </w:p>
    <w:p w:rsidR="00564EEE" w:rsidRPr="00564EEE" w:rsidRDefault="00564EEE">
      <w:pPr>
        <w:pStyle w:val="ConsPlusNormal"/>
        <w:ind w:firstLine="540"/>
        <w:jc w:val="both"/>
      </w:pPr>
      <w:r w:rsidRPr="00564EEE">
        <w:t>РУ - распределительное устройство;</w:t>
      </w:r>
    </w:p>
    <w:p w:rsidR="00564EEE" w:rsidRPr="00564EEE" w:rsidRDefault="00564EEE">
      <w:pPr>
        <w:pStyle w:val="ConsPlusNormal"/>
        <w:ind w:firstLine="540"/>
        <w:jc w:val="both"/>
      </w:pPr>
      <w:r w:rsidRPr="00564EEE">
        <w:t>ОРУ - открытое распределительное устройство;</w:t>
      </w:r>
    </w:p>
    <w:p w:rsidR="00564EEE" w:rsidRPr="00564EEE" w:rsidRDefault="00564EEE">
      <w:pPr>
        <w:pStyle w:val="ConsPlusNormal"/>
        <w:ind w:firstLine="540"/>
        <w:jc w:val="both"/>
      </w:pPr>
      <w:r w:rsidRPr="00564EEE">
        <w:t>ЗРУ - закрытое распределительное устройство;</w:t>
      </w:r>
    </w:p>
    <w:p w:rsidR="00564EEE" w:rsidRPr="00564EEE" w:rsidRDefault="00564EEE">
      <w:pPr>
        <w:pStyle w:val="ConsPlusNormal"/>
        <w:ind w:firstLine="540"/>
        <w:jc w:val="both"/>
      </w:pPr>
      <w:r w:rsidRPr="00564EEE">
        <w:t xml:space="preserve">КРУЭ - комплектное распределительное устройство </w:t>
      </w:r>
      <w:proofErr w:type="spellStart"/>
      <w:r w:rsidRPr="00564EEE">
        <w:t>элегазовое</w:t>
      </w:r>
      <w:proofErr w:type="spellEnd"/>
      <w:r w:rsidRPr="00564EEE">
        <w:t>;</w:t>
      </w:r>
    </w:p>
    <w:p w:rsidR="00564EEE" w:rsidRPr="00564EEE" w:rsidRDefault="00564EEE">
      <w:pPr>
        <w:pStyle w:val="ConsPlusNormal"/>
        <w:ind w:firstLine="540"/>
        <w:jc w:val="both"/>
      </w:pPr>
      <w:r w:rsidRPr="00564EEE">
        <w:t>КТП - комплектная трансформаторная подстанция;</w:t>
      </w:r>
    </w:p>
    <w:p w:rsidR="00564EEE" w:rsidRPr="00564EEE" w:rsidRDefault="00564EEE">
      <w:pPr>
        <w:pStyle w:val="ConsPlusNormal"/>
        <w:ind w:firstLine="540"/>
        <w:jc w:val="both"/>
      </w:pPr>
      <w:r w:rsidRPr="00564EEE">
        <w:t>ПС - электрическая подстанция;</w:t>
      </w:r>
    </w:p>
    <w:p w:rsidR="00564EEE" w:rsidRPr="00564EEE" w:rsidRDefault="00564EEE">
      <w:pPr>
        <w:pStyle w:val="ConsPlusNormal"/>
        <w:ind w:firstLine="540"/>
        <w:jc w:val="both"/>
      </w:pPr>
      <w:r w:rsidRPr="00564EEE">
        <w:t>ТЭО - технико-экономическое обоснование;</w:t>
      </w:r>
    </w:p>
    <w:p w:rsidR="00564EEE" w:rsidRPr="00564EEE" w:rsidRDefault="00564EEE">
      <w:pPr>
        <w:pStyle w:val="ConsPlusNormal"/>
        <w:ind w:firstLine="540"/>
        <w:jc w:val="both"/>
      </w:pPr>
      <w:r w:rsidRPr="00564EEE">
        <w:t>предварительная схема выдачи мощности электростанции - совокупность основных предварительных технических решений и параметров технологического присоединения строящихся (реконструируемых) генерирующих объектов к объектам электросетевого хозяйства, обеспечивающих выдачу мощности данной электростанции;</w:t>
      </w:r>
    </w:p>
    <w:p w:rsidR="00564EEE" w:rsidRPr="00564EEE" w:rsidRDefault="00564EEE">
      <w:pPr>
        <w:pStyle w:val="ConsPlusNormal"/>
        <w:ind w:firstLine="540"/>
        <w:jc w:val="both"/>
      </w:pPr>
      <w:r w:rsidRPr="00564EEE">
        <w:t>допустимая мощность ЛЭП - допустимая активная мощность, передаваемая по ЛЭП при нормированной плотности тока;</w:t>
      </w:r>
    </w:p>
    <w:p w:rsidR="00564EEE" w:rsidRPr="00564EEE" w:rsidRDefault="00564EEE">
      <w:pPr>
        <w:pStyle w:val="ConsPlusNormal"/>
        <w:ind w:firstLine="540"/>
        <w:jc w:val="both"/>
      </w:pPr>
      <w:r w:rsidRPr="00564EEE">
        <w:t>натуральная мощность ЛЭП - активная мощность, передаваемая по ЛЭП, при которой зарядная мощность ЛЭП равна потерям реактивной мощности в ней;</w:t>
      </w:r>
    </w:p>
    <w:p w:rsidR="00564EEE" w:rsidRPr="00564EEE" w:rsidRDefault="00564EEE">
      <w:pPr>
        <w:pStyle w:val="ConsPlusNormal"/>
        <w:ind w:firstLine="540"/>
        <w:jc w:val="both"/>
      </w:pPr>
      <w:proofErr w:type="gramStart"/>
      <w:r w:rsidRPr="00564EEE">
        <w:t>узловая подстанция - подстанция, которая используется при формировании предварительной схемы выдачи мощности строящихся (реконструируемых) генерирующих объектов к объектам электросетевого хозяйства (вне зависимости от степени их загрузки) в целях настоящих Методических рекомендаций, при этом список узловых подстанций утверждается и обновляется Министерством промышленности и энергетики Российской Федерации с учетом новых узловых подстанций, строительство которых предусмотрено инвестиционной программой сетевой организации (если плановые сроки ввода</w:t>
      </w:r>
      <w:proofErr w:type="gramEnd"/>
      <w:r w:rsidRPr="00564EEE">
        <w:t xml:space="preserve"> таких подстанций в эксплуатацию наступают ранее срока ввода в эксплуатацию соответствующего генерирующего объекта).</w:t>
      </w:r>
    </w:p>
    <w:p w:rsidR="00564EEE" w:rsidRPr="00564EEE" w:rsidRDefault="00564EEE">
      <w:pPr>
        <w:pStyle w:val="ConsPlusNormal"/>
        <w:ind w:firstLine="540"/>
        <w:jc w:val="both"/>
      </w:pPr>
      <w:r w:rsidRPr="00564EEE">
        <w:t>3. К предварительным параметрам относятся:</w:t>
      </w:r>
    </w:p>
    <w:p w:rsidR="00564EEE" w:rsidRPr="00564EEE" w:rsidRDefault="00564EEE">
      <w:pPr>
        <w:pStyle w:val="ConsPlusNormal"/>
        <w:ind w:firstLine="540"/>
        <w:jc w:val="both"/>
      </w:pPr>
      <w:r w:rsidRPr="00564EEE">
        <w:t>количество и номинальная мощность присоединяемых генерирующих объектов (штук, МВт);</w:t>
      </w:r>
    </w:p>
    <w:p w:rsidR="00564EEE" w:rsidRPr="00564EEE" w:rsidRDefault="00564EEE">
      <w:pPr>
        <w:pStyle w:val="ConsPlusNormal"/>
        <w:ind w:firstLine="540"/>
        <w:jc w:val="both"/>
      </w:pPr>
      <w:r w:rsidRPr="00564EEE">
        <w:t xml:space="preserve">количество и класс напряжения существующих РУ генерирующих объектов (штук, </w:t>
      </w:r>
      <w:proofErr w:type="spellStart"/>
      <w:r w:rsidRPr="00564EEE">
        <w:t>кВ</w:t>
      </w:r>
      <w:proofErr w:type="spellEnd"/>
      <w:r w:rsidRPr="00564EEE">
        <w:t>);</w:t>
      </w:r>
    </w:p>
    <w:p w:rsidR="00564EEE" w:rsidRPr="00564EEE" w:rsidRDefault="00564EEE">
      <w:pPr>
        <w:pStyle w:val="ConsPlusNormal"/>
        <w:ind w:firstLine="540"/>
        <w:jc w:val="both"/>
      </w:pPr>
      <w:r w:rsidRPr="00564EEE">
        <w:t xml:space="preserve">количество и класс напряжения новых РУ генерирующих объектов (штук, </w:t>
      </w:r>
      <w:proofErr w:type="spellStart"/>
      <w:r w:rsidRPr="00564EEE">
        <w:t>кВ</w:t>
      </w:r>
      <w:proofErr w:type="spellEnd"/>
      <w:r w:rsidRPr="00564EEE">
        <w:t>);</w:t>
      </w:r>
    </w:p>
    <w:p w:rsidR="00564EEE" w:rsidRPr="00564EEE" w:rsidRDefault="00564EEE">
      <w:pPr>
        <w:pStyle w:val="ConsPlusNormal"/>
        <w:ind w:firstLine="540"/>
        <w:jc w:val="both"/>
      </w:pPr>
      <w:r w:rsidRPr="00564EEE">
        <w:t>количество сооружаемых генераторных ячеек для РУ каждого класса напряжения (штук);</w:t>
      </w:r>
    </w:p>
    <w:p w:rsidR="00564EEE" w:rsidRPr="00564EEE" w:rsidRDefault="00564EEE">
      <w:pPr>
        <w:pStyle w:val="ConsPlusNormal"/>
        <w:ind w:firstLine="540"/>
        <w:jc w:val="both"/>
      </w:pPr>
      <w:r w:rsidRPr="00564EEE">
        <w:t>количество и мощность устанавливаемых трансформаторов связи (штук, МВ x А);</w:t>
      </w:r>
    </w:p>
    <w:p w:rsidR="00564EEE" w:rsidRPr="00564EEE" w:rsidRDefault="00564EEE">
      <w:pPr>
        <w:pStyle w:val="ConsPlusNormal"/>
        <w:ind w:firstLine="540"/>
        <w:jc w:val="both"/>
      </w:pPr>
      <w:r w:rsidRPr="00564EEE">
        <w:t>перечень узловых подстанций, которые используются при формировании предварительной схемы выдачи мощности строящихся (реконструируемых) генерирующих объектов, и их класс напряжения (</w:t>
      </w:r>
      <w:proofErr w:type="spellStart"/>
      <w:r w:rsidRPr="00564EEE">
        <w:t>кВ</w:t>
      </w:r>
      <w:proofErr w:type="spellEnd"/>
      <w:r w:rsidRPr="00564EEE">
        <w:t>);</w:t>
      </w:r>
    </w:p>
    <w:p w:rsidR="00564EEE" w:rsidRPr="00564EEE" w:rsidRDefault="00564EEE">
      <w:pPr>
        <w:pStyle w:val="ConsPlusNormal"/>
        <w:ind w:firstLine="540"/>
        <w:jc w:val="both"/>
      </w:pPr>
      <w:r w:rsidRPr="00564EEE">
        <w:t xml:space="preserve">количество и класс напряжения существующих ЛЭП, входящих в предварительную схему </w:t>
      </w:r>
      <w:r w:rsidRPr="00564EEE">
        <w:lastRenderedPageBreak/>
        <w:t xml:space="preserve">выдачи мощности генерирующих объектов (штук, </w:t>
      </w:r>
      <w:proofErr w:type="spellStart"/>
      <w:r w:rsidRPr="00564EEE">
        <w:t>кВ</w:t>
      </w:r>
      <w:proofErr w:type="spellEnd"/>
      <w:r w:rsidRPr="00564EEE">
        <w:t>);</w:t>
      </w:r>
    </w:p>
    <w:p w:rsidR="00564EEE" w:rsidRPr="00564EEE" w:rsidRDefault="00564EEE">
      <w:pPr>
        <w:pStyle w:val="ConsPlusNormal"/>
        <w:ind w:firstLine="540"/>
        <w:jc w:val="both"/>
      </w:pPr>
      <w:r w:rsidRPr="00564EEE">
        <w:t xml:space="preserve">количество, класс напряжения и протяженность сооружаемых ЛЭП (штук, </w:t>
      </w:r>
      <w:proofErr w:type="spellStart"/>
      <w:r w:rsidRPr="00564EEE">
        <w:t>кВ</w:t>
      </w:r>
      <w:proofErr w:type="spellEnd"/>
      <w:r w:rsidRPr="00564EEE">
        <w:t>, км), достаточных для формирования предварительной схемы выдачи мощности строящихся (реконструируемых) генерирующих объектов (в привязке к узловой подстанции);</w:t>
      </w:r>
    </w:p>
    <w:p w:rsidR="00564EEE" w:rsidRPr="00564EEE" w:rsidRDefault="00564EEE">
      <w:pPr>
        <w:pStyle w:val="ConsPlusNormal"/>
        <w:ind w:firstLine="540"/>
        <w:jc w:val="both"/>
      </w:pPr>
      <w:r w:rsidRPr="00564EEE">
        <w:t>количество ячеек трехфазного выключателя РУ, ячеек управляемого шунтирующего реактора и ячеек (авто) трансформаторного оборудования;</w:t>
      </w:r>
    </w:p>
    <w:p w:rsidR="00564EEE" w:rsidRPr="00564EEE" w:rsidRDefault="00564EEE">
      <w:pPr>
        <w:pStyle w:val="ConsPlusNormal"/>
        <w:ind w:firstLine="540"/>
        <w:jc w:val="both"/>
      </w:pPr>
      <w:r w:rsidRPr="00564EEE">
        <w:t>предельные сроки выполнения отдельных мероприятий по технологическому присоединению строящейся (реконструируемой) электростанции к объектам электросетевого хозяйства (по перечню, указанному в пункте 19 настоящих Методических рекомендаций).</w:t>
      </w:r>
    </w:p>
    <w:p w:rsidR="00564EEE" w:rsidRPr="00564EEE" w:rsidRDefault="00564EEE">
      <w:pPr>
        <w:pStyle w:val="ConsPlusNormal"/>
        <w:ind w:firstLine="540"/>
        <w:jc w:val="both"/>
      </w:pPr>
      <w:r w:rsidRPr="00564EEE">
        <w:t>4. Исходными данными для определения предварительных параметров являются:</w:t>
      </w:r>
    </w:p>
    <w:p w:rsidR="00564EEE" w:rsidRPr="00564EEE" w:rsidRDefault="00564EEE">
      <w:pPr>
        <w:pStyle w:val="ConsPlusNormal"/>
        <w:ind w:firstLine="540"/>
        <w:jc w:val="both"/>
      </w:pPr>
      <w:bookmarkStart w:id="2" w:name="P72"/>
      <w:bookmarkEnd w:id="2"/>
      <w:r w:rsidRPr="00564EEE">
        <w:t>а) предполагаемое место расположения генерирующих объектов, планируемых к строительству (реконструкции);</w:t>
      </w:r>
    </w:p>
    <w:p w:rsidR="00564EEE" w:rsidRPr="00564EEE" w:rsidRDefault="00564EEE">
      <w:pPr>
        <w:pStyle w:val="ConsPlusNormal"/>
        <w:ind w:firstLine="540"/>
        <w:jc w:val="both"/>
      </w:pPr>
      <w:bookmarkStart w:id="3" w:name="P73"/>
      <w:bookmarkEnd w:id="3"/>
      <w:r w:rsidRPr="00564EEE">
        <w:t>б) количество и номинальная мощность планируемых к установке генерирующих объектов, сумма номинальных мощностей существующих генерирующих объектов;</w:t>
      </w:r>
    </w:p>
    <w:p w:rsidR="00564EEE" w:rsidRPr="00564EEE" w:rsidRDefault="00564EEE">
      <w:pPr>
        <w:pStyle w:val="ConsPlusNormal"/>
        <w:ind w:firstLine="540"/>
        <w:jc w:val="both"/>
      </w:pPr>
      <w:bookmarkStart w:id="4" w:name="P74"/>
      <w:bookmarkEnd w:id="4"/>
      <w:r w:rsidRPr="00564EEE">
        <w:t>в) класс напряжения РУ, к которым присоединяются ЛЭП по предварительной схеме выдачи мощности генерирующего объекта, соответствующий требованиям раздела III настоящих Методических рекомендаций;</w:t>
      </w:r>
    </w:p>
    <w:p w:rsidR="00564EEE" w:rsidRPr="00564EEE" w:rsidRDefault="00564EEE">
      <w:pPr>
        <w:pStyle w:val="ConsPlusNormal"/>
        <w:ind w:firstLine="540"/>
        <w:jc w:val="both"/>
      </w:pPr>
      <w:bookmarkStart w:id="5" w:name="P75"/>
      <w:bookmarkEnd w:id="5"/>
      <w:r w:rsidRPr="00564EEE">
        <w:t>г) карта-схема электрических сетей в районе (предполагаемого) места расположения генерирующих объектов, планируемых к строительству (реконструкции), с географической привязкой объектов электроэнергетики;</w:t>
      </w:r>
    </w:p>
    <w:p w:rsidR="00564EEE" w:rsidRPr="00564EEE" w:rsidRDefault="00564EEE">
      <w:pPr>
        <w:pStyle w:val="ConsPlusNormal"/>
        <w:ind w:firstLine="540"/>
        <w:jc w:val="both"/>
      </w:pPr>
      <w:bookmarkStart w:id="6" w:name="P76"/>
      <w:bookmarkEnd w:id="6"/>
      <w:r w:rsidRPr="00564EEE">
        <w:t>д) нормальная схема соединений электрической сети энергосистемы в районе предполагаемого места расположения генерирующих объектов, планируемых к строительству (реконструкции).</w:t>
      </w:r>
    </w:p>
    <w:p w:rsidR="00564EEE" w:rsidRPr="00564EEE" w:rsidRDefault="00564EEE">
      <w:pPr>
        <w:pStyle w:val="ConsPlusNormal"/>
        <w:ind w:firstLine="540"/>
        <w:jc w:val="both"/>
      </w:pPr>
      <w:r w:rsidRPr="00564EEE">
        <w:t>При этом данные, указанные в подпунктах "а", "б" и "в" настоящего пункта, предоставляются сетевой организации заявителем.</w:t>
      </w:r>
    </w:p>
    <w:p w:rsidR="00564EEE" w:rsidRPr="00564EEE" w:rsidRDefault="00564EEE">
      <w:pPr>
        <w:pStyle w:val="ConsPlusNormal"/>
        <w:ind w:firstLine="540"/>
        <w:jc w:val="both"/>
      </w:pPr>
      <w:r w:rsidRPr="00564EEE">
        <w:t>Информация, предусмотренная подпунктами "г" и "д" настоящего пункта, предоставляется заявителю сетевой организацией, к объектам электросетевого хозяйства которой осуществляется технологическое присоединение генерирующих объектов заявителя.</w:t>
      </w:r>
    </w:p>
    <w:p w:rsidR="00564EEE" w:rsidRPr="00564EEE" w:rsidRDefault="00564EEE">
      <w:pPr>
        <w:pStyle w:val="ConsPlusNormal"/>
        <w:ind w:firstLine="540"/>
        <w:jc w:val="both"/>
      </w:pPr>
      <w:r w:rsidRPr="00564EEE">
        <w:t>5. Последовательность действий при определении предварительных параметров выдачи мощности строящихся генерирующих объектов определяется приложением 2 к настоящим Методическим рекомендациям.</w:t>
      </w:r>
    </w:p>
    <w:p w:rsidR="00564EEE" w:rsidRPr="00564EEE" w:rsidRDefault="00564EEE">
      <w:pPr>
        <w:pStyle w:val="ConsPlusNormal"/>
        <w:ind w:firstLine="540"/>
        <w:jc w:val="both"/>
      </w:pPr>
      <w:r w:rsidRPr="00564EEE">
        <w:t>Последовательность действий при определении предварительных параметров выдачи мощности реконструируемых генерирующих объектов определяется приложением 3 к настоящим Методическим рекомендациям.</w:t>
      </w:r>
    </w:p>
    <w:p w:rsidR="00564EEE" w:rsidRPr="00564EEE" w:rsidRDefault="00564EEE">
      <w:pPr>
        <w:pStyle w:val="ConsPlusNormal"/>
        <w:ind w:firstLine="540"/>
        <w:jc w:val="both"/>
      </w:pPr>
    </w:p>
    <w:p w:rsidR="00564EEE" w:rsidRPr="00564EEE" w:rsidRDefault="00564EEE">
      <w:pPr>
        <w:pStyle w:val="ConsPlusNormal"/>
        <w:jc w:val="center"/>
      </w:pPr>
      <w:bookmarkStart w:id="7" w:name="P82"/>
      <w:bookmarkEnd w:id="7"/>
      <w:r w:rsidRPr="00564EEE">
        <w:t>II. Общие условия определения предварительной схемы</w:t>
      </w:r>
    </w:p>
    <w:p w:rsidR="00564EEE" w:rsidRPr="00564EEE" w:rsidRDefault="00564EEE">
      <w:pPr>
        <w:pStyle w:val="ConsPlusNormal"/>
        <w:jc w:val="center"/>
      </w:pPr>
      <w:r w:rsidRPr="00564EEE">
        <w:t>выдачи мощности</w:t>
      </w:r>
    </w:p>
    <w:p w:rsidR="00564EEE" w:rsidRPr="00564EEE" w:rsidRDefault="00564EEE">
      <w:pPr>
        <w:pStyle w:val="ConsPlusNormal"/>
        <w:jc w:val="center"/>
      </w:pPr>
    </w:p>
    <w:p w:rsidR="00564EEE" w:rsidRPr="00564EEE" w:rsidRDefault="00564EEE">
      <w:pPr>
        <w:pStyle w:val="ConsPlusNormal"/>
        <w:ind w:firstLine="540"/>
        <w:jc w:val="both"/>
      </w:pPr>
      <w:r w:rsidRPr="00564EEE">
        <w:t>6. Предварительная схема выдачи мощности определяется с учетом необходимости соблюдения следующих условий:</w:t>
      </w:r>
    </w:p>
    <w:p w:rsidR="00564EEE" w:rsidRPr="00564EEE" w:rsidRDefault="00564EEE">
      <w:pPr>
        <w:pStyle w:val="ConsPlusNormal"/>
        <w:ind w:firstLine="540"/>
        <w:jc w:val="both"/>
      </w:pPr>
      <w:bookmarkStart w:id="8" w:name="P86"/>
      <w:bookmarkEnd w:id="8"/>
      <w:r w:rsidRPr="00564EEE">
        <w:t>а) достаточность пропускной способности ЛЭП, входящих в предварительную схему выдачи мощности электростанции, которая обеспечивается, если сумма номинальных мощностей всех генерирующих объектов электростанции не превышает пропускную способность предварительной схемы выдачи мощности электростанции, определяемую в соответствии с пунктом 7 настоящих Методических рекомендаций;</w:t>
      </w:r>
    </w:p>
    <w:p w:rsidR="00564EEE" w:rsidRPr="00564EEE" w:rsidRDefault="00564EEE">
      <w:pPr>
        <w:pStyle w:val="ConsPlusNormal"/>
        <w:ind w:firstLine="540"/>
        <w:jc w:val="both"/>
      </w:pPr>
      <w:bookmarkStart w:id="9" w:name="P87"/>
      <w:bookmarkEnd w:id="9"/>
      <w:r w:rsidRPr="00564EEE">
        <w:t xml:space="preserve">б) достаточность предварительной пропускной способности РУ электростанции, которая обеспечивается, если сумма номинальных мощностей генерирующих объектов электростанции, подключенных (подключаемых) к </w:t>
      </w:r>
      <w:proofErr w:type="gramStart"/>
      <w:r w:rsidRPr="00564EEE">
        <w:t>данному</w:t>
      </w:r>
      <w:proofErr w:type="gramEnd"/>
      <w:r w:rsidRPr="00564EEE">
        <w:t xml:space="preserve"> РУ, не превышает предварительную пропускную способность РУ электростанции, определяемую в соответствии с пунктом 8 настоящих Методических рекомендаций;</w:t>
      </w:r>
    </w:p>
    <w:p w:rsidR="00564EEE" w:rsidRPr="00564EEE" w:rsidRDefault="00564EEE">
      <w:pPr>
        <w:pStyle w:val="ConsPlusNormal"/>
        <w:ind w:firstLine="540"/>
        <w:jc w:val="both"/>
      </w:pPr>
      <w:bookmarkStart w:id="10" w:name="P88"/>
      <w:bookmarkEnd w:id="10"/>
      <w:r w:rsidRPr="00564EEE">
        <w:t xml:space="preserve">в) достаточность трансформаторов РУ, которая обеспечивается, если номинальная мощность наиболее крупного генерирующего объекта (генератора) электростанции, подключенного (подключаемого) к </w:t>
      </w:r>
      <w:proofErr w:type="gramStart"/>
      <w:r w:rsidRPr="00564EEE">
        <w:t>данному</w:t>
      </w:r>
      <w:proofErr w:type="gramEnd"/>
      <w:r w:rsidRPr="00564EEE">
        <w:t xml:space="preserve"> РУ, не превышает предварительную пропускную способность трансформаторов этого РУ, определяемую в соответствии с пунктом 9 настоящих Методических </w:t>
      </w:r>
      <w:r w:rsidRPr="00564EEE">
        <w:lastRenderedPageBreak/>
        <w:t>рекомендаций.</w:t>
      </w:r>
    </w:p>
    <w:p w:rsidR="00564EEE" w:rsidRPr="00564EEE" w:rsidRDefault="00564EEE">
      <w:pPr>
        <w:pStyle w:val="ConsPlusNormal"/>
        <w:ind w:firstLine="540"/>
        <w:jc w:val="both"/>
      </w:pPr>
      <w:bookmarkStart w:id="11" w:name="P89"/>
      <w:bookmarkEnd w:id="11"/>
      <w:r w:rsidRPr="00564EEE">
        <w:t xml:space="preserve">7. </w:t>
      </w:r>
      <w:proofErr w:type="gramStart"/>
      <w:r w:rsidRPr="00564EEE">
        <w:t>Пропускная способность предварительной схемы выдачи мощности электростанции определяется как сумма предварительных максимальных мощностей, передаваемых по ЛЭП всех классов напряжения, отходящих от электростанции, как существующих, так и новых, строительство которых предусмотрено инвестиционной программой сетевой организации (если плановые сроки ввода таких ЛЭП в эксплуатацию наступают ранее срока ввода в эксплуатацию соответствующего генерирующего объекта) или учитывается при определении размера платы за технологическое присоединение</w:t>
      </w:r>
      <w:proofErr w:type="gramEnd"/>
      <w:r w:rsidRPr="00564EEE">
        <w:t xml:space="preserve"> данного строящегося (реконструируемого) генерирующего объекта к объектам электросетевого хозяйства.</w:t>
      </w:r>
    </w:p>
    <w:p w:rsidR="00564EEE" w:rsidRPr="00564EEE" w:rsidRDefault="00564EEE">
      <w:pPr>
        <w:pStyle w:val="ConsPlusNormal"/>
        <w:ind w:firstLine="540"/>
        <w:jc w:val="both"/>
      </w:pPr>
      <w:r w:rsidRPr="00564EEE">
        <w:t>Предварительная максимальная мощность, передаваемая по ЛЭП, определяется:</w:t>
      </w:r>
    </w:p>
    <w:p w:rsidR="00564EEE" w:rsidRPr="00564EEE" w:rsidRDefault="00564EEE">
      <w:pPr>
        <w:pStyle w:val="ConsPlusNormal"/>
        <w:ind w:firstLine="540"/>
        <w:jc w:val="both"/>
      </w:pPr>
      <w:r w:rsidRPr="00564EEE">
        <w:t xml:space="preserve">для сети 35 </w:t>
      </w:r>
      <w:proofErr w:type="spellStart"/>
      <w:r w:rsidRPr="00564EEE">
        <w:t>кВ</w:t>
      </w:r>
      <w:proofErr w:type="spellEnd"/>
      <w:r w:rsidRPr="00564EEE">
        <w:t xml:space="preserve"> и ниже - как допустимая мощность ЛЭП с учетом нормированной плотности тока, устанавливаемая в соответствии с приложением 4 к настоящим Методическим рекомендациям;</w:t>
      </w:r>
    </w:p>
    <w:p w:rsidR="00564EEE" w:rsidRPr="00564EEE" w:rsidRDefault="00564EEE">
      <w:pPr>
        <w:pStyle w:val="ConsPlusNormal"/>
        <w:ind w:firstLine="540"/>
        <w:jc w:val="both"/>
      </w:pPr>
      <w:proofErr w:type="gramStart"/>
      <w:r w:rsidRPr="00564EEE">
        <w:t xml:space="preserve">для сети 110 </w:t>
      </w:r>
      <w:proofErr w:type="spellStart"/>
      <w:r w:rsidRPr="00564EEE">
        <w:t>кВ</w:t>
      </w:r>
      <w:proofErr w:type="spellEnd"/>
      <w:r w:rsidRPr="00564EEE">
        <w:t xml:space="preserve"> и выше - как натуральная мощность ЛЭП с учетом ограничения по допустимой токовой загрузке, равная произведению натуральной мощности ЛЭП, устанавливаемой в соответствии с приложением 1 к настоящим Методическим рекомендациям, на коэффициент приведения натуральной мощности ЛЭП, принимаемый равным 1 при номинальном напряжении 330 </w:t>
      </w:r>
      <w:proofErr w:type="spellStart"/>
      <w:r w:rsidRPr="00564EEE">
        <w:t>кВ</w:t>
      </w:r>
      <w:proofErr w:type="spellEnd"/>
      <w:r w:rsidRPr="00564EEE">
        <w:t xml:space="preserve"> и выше, 1,2 - при номинальном напряжении 220 </w:t>
      </w:r>
      <w:proofErr w:type="spellStart"/>
      <w:r w:rsidRPr="00564EEE">
        <w:t>кВ</w:t>
      </w:r>
      <w:proofErr w:type="spellEnd"/>
      <w:r w:rsidRPr="00564EEE">
        <w:t xml:space="preserve">, 1,4 - при номинальном напряжении 110 </w:t>
      </w:r>
      <w:proofErr w:type="spellStart"/>
      <w:r w:rsidRPr="00564EEE">
        <w:t>кВ.</w:t>
      </w:r>
      <w:proofErr w:type="spellEnd"/>
      <w:proofErr w:type="gramEnd"/>
    </w:p>
    <w:p w:rsidR="00564EEE" w:rsidRPr="00564EEE" w:rsidRDefault="00564EEE">
      <w:pPr>
        <w:pStyle w:val="ConsPlusNormal"/>
        <w:ind w:firstLine="540"/>
        <w:jc w:val="both"/>
      </w:pPr>
      <w:bookmarkStart w:id="12" w:name="P93"/>
      <w:bookmarkEnd w:id="12"/>
      <w:r w:rsidRPr="00564EEE">
        <w:t xml:space="preserve">8. Предварительная пропускная способность РУ электростанции определяется как сумма предварительных максимальных мощностей, передаваемых по ЛЭП, отходящих от </w:t>
      </w:r>
      <w:proofErr w:type="gramStart"/>
      <w:r w:rsidRPr="00564EEE">
        <w:t>данного</w:t>
      </w:r>
      <w:proofErr w:type="gramEnd"/>
      <w:r w:rsidRPr="00564EEE">
        <w:t xml:space="preserve"> РУ, и предварительной пропускной способности трансформаторов данного РУ.</w:t>
      </w:r>
    </w:p>
    <w:p w:rsidR="00564EEE" w:rsidRPr="00564EEE" w:rsidRDefault="00564EEE">
      <w:pPr>
        <w:pStyle w:val="ConsPlusNormal"/>
        <w:ind w:firstLine="540"/>
        <w:jc w:val="both"/>
      </w:pPr>
      <w:r w:rsidRPr="00564EEE">
        <w:t>При этом учитываются ЛЭП и РУ, как входящие в действующую схему выдачи мощности электростанции (при строительстве (реконструкции) генерирующих объектов на существующей электростанции), так и новые, необходимые для обеспечения выдачи дополнительной мощности.</w:t>
      </w:r>
    </w:p>
    <w:p w:rsidR="00564EEE" w:rsidRPr="00564EEE" w:rsidRDefault="00564EEE">
      <w:pPr>
        <w:pStyle w:val="ConsPlusNormal"/>
        <w:ind w:firstLine="540"/>
        <w:jc w:val="both"/>
      </w:pPr>
      <w:bookmarkStart w:id="13" w:name="P95"/>
      <w:bookmarkEnd w:id="13"/>
      <w:r w:rsidRPr="00564EEE">
        <w:t>9. Предварительная пропускная способность трансформаторов РУ электростанции определяется как сумма номинальных мощностей трансформаторов (автотрансформаторов) связи, посредством которых осуществляется связь данного РУ с РУ более высоких классов напряжения, за вычетом мощности наиболее мощного из них, умноженная на коэффициент мощности (</w:t>
      </w:r>
      <w:proofErr w:type="spellStart"/>
      <w:r w:rsidRPr="00564EEE">
        <w:t>cos</w:t>
      </w:r>
      <w:proofErr w:type="spellEnd"/>
      <w:r w:rsidRPr="00564EEE">
        <w:t xml:space="preserve"> фи), равный 0,85.</w:t>
      </w:r>
    </w:p>
    <w:p w:rsidR="00564EEE" w:rsidRPr="00564EEE" w:rsidRDefault="00564EEE">
      <w:pPr>
        <w:pStyle w:val="ConsPlusNormal"/>
        <w:ind w:firstLine="540"/>
        <w:jc w:val="both"/>
      </w:pPr>
      <w:r w:rsidRPr="00564EEE">
        <w:t>При этом учитываются РУ, входящие в действующую схему выдачи мощности электростанции (при строительстве (реконструкции) генерирующих объектов на существующей электростанции), и новые РУ, необходимые для обеспечения выдачи дополнительной мощности строящихся (реконструируемых) генерирующих объектов.</w:t>
      </w:r>
    </w:p>
    <w:p w:rsidR="00564EEE" w:rsidRPr="00564EEE" w:rsidRDefault="00564EEE">
      <w:pPr>
        <w:pStyle w:val="ConsPlusNormal"/>
        <w:jc w:val="center"/>
      </w:pPr>
    </w:p>
    <w:p w:rsidR="00564EEE" w:rsidRPr="00564EEE" w:rsidRDefault="00564EEE">
      <w:pPr>
        <w:pStyle w:val="ConsPlusNormal"/>
        <w:jc w:val="center"/>
      </w:pPr>
      <w:bookmarkStart w:id="14" w:name="P98"/>
      <w:bookmarkEnd w:id="14"/>
      <w:r w:rsidRPr="00564EEE">
        <w:t>III. Условия определения предварительных параметров</w:t>
      </w:r>
    </w:p>
    <w:p w:rsidR="00564EEE" w:rsidRPr="00564EEE" w:rsidRDefault="00564EEE">
      <w:pPr>
        <w:pStyle w:val="ConsPlusNormal"/>
        <w:jc w:val="center"/>
      </w:pPr>
      <w:r w:rsidRPr="00564EEE">
        <w:t>распределительных устройств</w:t>
      </w:r>
    </w:p>
    <w:p w:rsidR="00564EEE" w:rsidRPr="00564EEE" w:rsidRDefault="00564EEE">
      <w:pPr>
        <w:pStyle w:val="ConsPlusNormal"/>
        <w:jc w:val="center"/>
      </w:pPr>
    </w:p>
    <w:p w:rsidR="00564EEE" w:rsidRPr="00564EEE" w:rsidRDefault="00564EEE">
      <w:pPr>
        <w:pStyle w:val="ConsPlusNormal"/>
        <w:ind w:firstLine="540"/>
        <w:jc w:val="both"/>
      </w:pPr>
      <w:bookmarkStart w:id="15" w:name="P101"/>
      <w:bookmarkEnd w:id="15"/>
      <w:r w:rsidRPr="00564EEE">
        <w:t>10. Количество РУ строящейся (реконструируемой) электростанции определяется исходя из условий достаточности трансформаторов РУ и достаточности предварительной пропускной способности РУ электростанции, устанавливаемых в соответствии с подпунктами "б" и "в" пункта 6 настоящих Методических рекомендаций.</w:t>
      </w:r>
    </w:p>
    <w:p w:rsidR="00564EEE" w:rsidRPr="00564EEE" w:rsidRDefault="00564EEE">
      <w:pPr>
        <w:pStyle w:val="ConsPlusNormal"/>
        <w:ind w:firstLine="540"/>
        <w:jc w:val="both"/>
      </w:pPr>
      <w:r w:rsidRPr="00564EEE">
        <w:t>При этом необходимо соблюдать следующие условия:</w:t>
      </w:r>
    </w:p>
    <w:p w:rsidR="00564EEE" w:rsidRPr="00564EEE" w:rsidRDefault="00564EEE">
      <w:pPr>
        <w:pStyle w:val="ConsPlusNormal"/>
        <w:ind w:firstLine="540"/>
        <w:jc w:val="both"/>
      </w:pPr>
      <w:r w:rsidRPr="00564EEE">
        <w:t>а) пропускная способность всего комплекса электротехнического оборудования, посредством которого строящийся (реконструируемый) генерирующий объект присоединяется к РУ электростанции, должна обеспечивать выдачу полной номинальной мощности генерирующего объекта до шин указанного РУ;</w:t>
      </w:r>
    </w:p>
    <w:p w:rsidR="00564EEE" w:rsidRPr="00564EEE" w:rsidRDefault="00564EEE">
      <w:pPr>
        <w:pStyle w:val="ConsPlusNormal"/>
        <w:ind w:firstLine="540"/>
        <w:jc w:val="both"/>
      </w:pPr>
      <w:r w:rsidRPr="00564EEE">
        <w:t>б) присоединение новых генерирующих объектов (генераторов) осуществляется к РУ следующих классов напряжения:</w:t>
      </w:r>
    </w:p>
    <w:p w:rsidR="00564EEE" w:rsidRPr="00564EEE" w:rsidRDefault="00564EEE">
      <w:pPr>
        <w:pStyle w:val="ConsPlusNormal"/>
        <w:ind w:firstLine="540"/>
        <w:jc w:val="both"/>
      </w:pPr>
      <w:r w:rsidRPr="00564EEE">
        <w:t xml:space="preserve">к РУ 110 </w:t>
      </w:r>
      <w:proofErr w:type="spellStart"/>
      <w:r w:rsidRPr="00564EEE">
        <w:t>кВ</w:t>
      </w:r>
      <w:proofErr w:type="spellEnd"/>
      <w:r w:rsidRPr="00564EEE">
        <w:t xml:space="preserve"> и ниже - при мощности нового генератора (энергоблока) до 30 МВт;</w:t>
      </w:r>
    </w:p>
    <w:p w:rsidR="00564EEE" w:rsidRPr="00564EEE" w:rsidRDefault="00564EEE">
      <w:pPr>
        <w:pStyle w:val="ConsPlusNormal"/>
        <w:ind w:firstLine="540"/>
        <w:jc w:val="both"/>
      </w:pPr>
      <w:r w:rsidRPr="00564EEE">
        <w:t xml:space="preserve">к РУ не ниже 110 </w:t>
      </w:r>
      <w:proofErr w:type="spellStart"/>
      <w:r w:rsidRPr="00564EEE">
        <w:t>кВ</w:t>
      </w:r>
      <w:proofErr w:type="spellEnd"/>
      <w:r w:rsidRPr="00564EEE">
        <w:t xml:space="preserve"> - при мощности нового генератора (энергоблока) от 30 до 160 МВт;</w:t>
      </w:r>
    </w:p>
    <w:p w:rsidR="00564EEE" w:rsidRPr="00564EEE" w:rsidRDefault="00564EEE">
      <w:pPr>
        <w:pStyle w:val="ConsPlusNormal"/>
        <w:ind w:firstLine="540"/>
        <w:jc w:val="both"/>
      </w:pPr>
      <w:r w:rsidRPr="00564EEE">
        <w:t xml:space="preserve">к РУ не ниже 220 </w:t>
      </w:r>
      <w:proofErr w:type="spellStart"/>
      <w:r w:rsidRPr="00564EEE">
        <w:t>кВ</w:t>
      </w:r>
      <w:proofErr w:type="spellEnd"/>
      <w:r w:rsidRPr="00564EEE">
        <w:t xml:space="preserve">, а при отсутствии в районе расположения электростанции сети указанного класса напряжения - не ниже 330 </w:t>
      </w:r>
      <w:proofErr w:type="spellStart"/>
      <w:r w:rsidRPr="00564EEE">
        <w:t>кВ</w:t>
      </w:r>
      <w:proofErr w:type="spellEnd"/>
      <w:r w:rsidRPr="00564EEE">
        <w:t xml:space="preserve"> - при мощности нового генератора (энергоблока) от 160 до 330 МВт;</w:t>
      </w:r>
    </w:p>
    <w:p w:rsidR="00564EEE" w:rsidRPr="00564EEE" w:rsidRDefault="00564EEE">
      <w:pPr>
        <w:pStyle w:val="ConsPlusNormal"/>
        <w:ind w:firstLine="540"/>
        <w:jc w:val="both"/>
      </w:pPr>
      <w:r w:rsidRPr="00564EEE">
        <w:lastRenderedPageBreak/>
        <w:t xml:space="preserve">к РУ не ниже 500 </w:t>
      </w:r>
      <w:proofErr w:type="spellStart"/>
      <w:r w:rsidRPr="00564EEE">
        <w:t>кВ</w:t>
      </w:r>
      <w:proofErr w:type="spellEnd"/>
      <w:r w:rsidRPr="00564EEE">
        <w:t xml:space="preserve">, а при отсутствии в районе расположения электростанции сети указанного класса напряжения - не ниже 330 </w:t>
      </w:r>
      <w:proofErr w:type="spellStart"/>
      <w:r w:rsidRPr="00564EEE">
        <w:t>кВ</w:t>
      </w:r>
      <w:proofErr w:type="spellEnd"/>
      <w:r w:rsidRPr="00564EEE">
        <w:t xml:space="preserve"> - при мощности нового генератора (энергоблока) 330 МВт и более;</w:t>
      </w:r>
    </w:p>
    <w:p w:rsidR="00564EEE" w:rsidRPr="00564EEE" w:rsidRDefault="00564EEE">
      <w:pPr>
        <w:pStyle w:val="ConsPlusNormal"/>
        <w:ind w:firstLine="540"/>
        <w:jc w:val="both"/>
      </w:pPr>
      <w:r w:rsidRPr="00564EEE">
        <w:t>в) в случае отсутствия на реконструируемой электростанции РУ требуемого класса напряжения для присоединения новых генерирующих объектов предусматривается сооружение нового РУ этого класса;</w:t>
      </w:r>
    </w:p>
    <w:p w:rsidR="00564EEE" w:rsidRPr="00564EEE" w:rsidRDefault="00564EEE">
      <w:pPr>
        <w:pStyle w:val="ConsPlusNormal"/>
        <w:ind w:firstLine="540"/>
        <w:jc w:val="both"/>
      </w:pPr>
      <w:r w:rsidRPr="00564EEE">
        <w:t xml:space="preserve">г) при строительстве (реконструкции) электростанции с двумя и более РУ связь РУ электростанции осуществляется с применением двух и более трансформаторов (автотрансформаторов) номинальной мощностью не </w:t>
      </w:r>
      <w:proofErr w:type="gramStart"/>
      <w:r w:rsidRPr="00564EEE">
        <w:t>менее номинальной</w:t>
      </w:r>
      <w:proofErr w:type="gramEnd"/>
      <w:r w:rsidRPr="00564EEE">
        <w:t xml:space="preserve"> мощности наиболее крупного генератора (энергоблока) электростанции, подключенного к РУ более низкого напряжения.</w:t>
      </w:r>
    </w:p>
    <w:p w:rsidR="00564EEE" w:rsidRPr="00564EEE" w:rsidRDefault="00564EEE">
      <w:pPr>
        <w:pStyle w:val="ConsPlusNormal"/>
        <w:ind w:firstLine="540"/>
        <w:jc w:val="both"/>
      </w:pPr>
      <w:bookmarkStart w:id="16" w:name="P111"/>
      <w:bookmarkEnd w:id="16"/>
      <w:r w:rsidRPr="00564EEE">
        <w:t>11. Классы напряжения РУ предварительной схемы выдачи мощности электростанции определяются в соответствии со шкалой номинальных напряжений, принятых в Единой энергетической системе России и технологически изолированных территориальных электроэнергетических системах:</w:t>
      </w:r>
    </w:p>
    <w:p w:rsidR="00564EEE" w:rsidRPr="00564EEE" w:rsidRDefault="00564EEE">
      <w:pPr>
        <w:pStyle w:val="ConsPlusNormal"/>
        <w:ind w:firstLine="540"/>
        <w:jc w:val="both"/>
      </w:pPr>
      <w:r w:rsidRPr="00564EEE">
        <w:t xml:space="preserve">6 - 10 - 20 - 35 - 110 (157) - 220 - 330 - 500 - 750 </w:t>
      </w:r>
      <w:proofErr w:type="spellStart"/>
      <w:r w:rsidRPr="00564EEE">
        <w:t>кВ.</w:t>
      </w:r>
      <w:proofErr w:type="spellEnd"/>
    </w:p>
    <w:p w:rsidR="00564EEE" w:rsidRPr="00564EEE" w:rsidRDefault="00564EEE">
      <w:pPr>
        <w:pStyle w:val="ConsPlusNormal"/>
        <w:jc w:val="center"/>
      </w:pPr>
    </w:p>
    <w:p w:rsidR="00564EEE" w:rsidRPr="00564EEE" w:rsidRDefault="00564EEE">
      <w:pPr>
        <w:pStyle w:val="ConsPlusNormal"/>
        <w:jc w:val="center"/>
      </w:pPr>
      <w:bookmarkStart w:id="17" w:name="P114"/>
      <w:bookmarkEnd w:id="17"/>
      <w:r w:rsidRPr="00564EEE">
        <w:t>IV. Условия определения предварительных параметров</w:t>
      </w:r>
    </w:p>
    <w:p w:rsidR="00564EEE" w:rsidRPr="00564EEE" w:rsidRDefault="00564EEE">
      <w:pPr>
        <w:pStyle w:val="ConsPlusNormal"/>
        <w:jc w:val="center"/>
      </w:pPr>
      <w:r w:rsidRPr="00564EEE">
        <w:t>линий электропередачи</w:t>
      </w:r>
    </w:p>
    <w:p w:rsidR="00564EEE" w:rsidRPr="00564EEE" w:rsidRDefault="00564EEE">
      <w:pPr>
        <w:pStyle w:val="ConsPlusNormal"/>
        <w:jc w:val="center"/>
      </w:pPr>
    </w:p>
    <w:p w:rsidR="00564EEE" w:rsidRPr="00564EEE" w:rsidRDefault="00564EEE">
      <w:pPr>
        <w:pStyle w:val="ConsPlusNormal"/>
        <w:ind w:firstLine="540"/>
        <w:jc w:val="both"/>
      </w:pPr>
      <w:bookmarkStart w:id="18" w:name="P117"/>
      <w:bookmarkEnd w:id="18"/>
      <w:r w:rsidRPr="00564EEE">
        <w:t>12. Количество предполагаемых к строительству ЛЭП, необходимых для обеспечения выдачи мощности строящейся (реконструируемой) электростанции, определяется исходя из условия достаточности пропускной способности указанных ЛЭП, устанавливаемой в соответствии с подпунктом "а" пункта 6 настоящих Методических рекомендаций.</w:t>
      </w:r>
    </w:p>
    <w:p w:rsidR="00564EEE" w:rsidRPr="00564EEE" w:rsidRDefault="00564EEE">
      <w:pPr>
        <w:pStyle w:val="ConsPlusNormal"/>
        <w:ind w:firstLine="540"/>
        <w:jc w:val="both"/>
      </w:pPr>
      <w:r w:rsidRPr="00564EEE">
        <w:t>При этом необходимо соблюдать следующие условия:</w:t>
      </w:r>
    </w:p>
    <w:p w:rsidR="00564EEE" w:rsidRPr="00564EEE" w:rsidRDefault="00564EEE">
      <w:pPr>
        <w:pStyle w:val="ConsPlusNormal"/>
        <w:ind w:firstLine="540"/>
        <w:jc w:val="both"/>
      </w:pPr>
      <w:r w:rsidRPr="00564EEE">
        <w:t>а) предполагаемые к строительству ЛЭП должны соединять РУ электростанций с узловыми подстанциями, обладающими следующими характеристиками:</w:t>
      </w:r>
    </w:p>
    <w:p w:rsidR="00564EEE" w:rsidRPr="00564EEE" w:rsidRDefault="00564EEE">
      <w:pPr>
        <w:pStyle w:val="ConsPlusNormal"/>
        <w:ind w:firstLine="540"/>
        <w:jc w:val="both"/>
      </w:pPr>
      <w:r w:rsidRPr="00564EEE">
        <w:t xml:space="preserve">при суммарной мощности электростанции (с учетом ввода новой генерации) не более 2 МВт - высшим классом напряжения 10 (6) </w:t>
      </w:r>
      <w:proofErr w:type="spellStart"/>
      <w:r w:rsidRPr="00564EEE">
        <w:t>кВ</w:t>
      </w:r>
      <w:proofErr w:type="spellEnd"/>
      <w:r w:rsidRPr="00564EEE">
        <w:t>, с присоединением по высшему классу напряжения не менее трех линий электропередачи;</w:t>
      </w:r>
    </w:p>
    <w:p w:rsidR="00564EEE" w:rsidRPr="00564EEE" w:rsidRDefault="00564EEE">
      <w:pPr>
        <w:pStyle w:val="ConsPlusNormal"/>
        <w:ind w:firstLine="540"/>
        <w:jc w:val="both"/>
      </w:pPr>
      <w:r w:rsidRPr="00564EEE">
        <w:t xml:space="preserve">при суммарной мощности электростанции (с учетом ввода новой генерации) не более 30 МВт - высшим классом напряжения 35 (20) </w:t>
      </w:r>
      <w:proofErr w:type="spellStart"/>
      <w:r w:rsidRPr="00564EEE">
        <w:t>кВ</w:t>
      </w:r>
      <w:proofErr w:type="spellEnd"/>
      <w:r w:rsidRPr="00564EEE">
        <w:t>, с присоединением по высшему классу напряжения не менее трех линий электропередачи;</w:t>
      </w:r>
    </w:p>
    <w:p w:rsidR="00564EEE" w:rsidRPr="00564EEE" w:rsidRDefault="00564EEE">
      <w:pPr>
        <w:pStyle w:val="ConsPlusNormal"/>
        <w:ind w:firstLine="540"/>
        <w:jc w:val="both"/>
      </w:pPr>
      <w:r w:rsidRPr="00564EEE">
        <w:t>при суммарной мощности электростанции свыше 30 МВт:</w:t>
      </w:r>
    </w:p>
    <w:p w:rsidR="00564EEE" w:rsidRPr="00564EEE" w:rsidRDefault="00564EEE">
      <w:pPr>
        <w:pStyle w:val="ConsPlusNormal"/>
        <w:ind w:firstLine="540"/>
        <w:jc w:val="both"/>
      </w:pPr>
      <w:r w:rsidRPr="00564EEE">
        <w:t xml:space="preserve">высшим классом напряжения 110 или 220 </w:t>
      </w:r>
      <w:proofErr w:type="spellStart"/>
      <w:r w:rsidRPr="00564EEE">
        <w:t>кВ</w:t>
      </w:r>
      <w:proofErr w:type="spellEnd"/>
      <w:r w:rsidRPr="00564EEE">
        <w:t xml:space="preserve"> с присоединением по высшему классу напряжения не менее трех линий электропередачи и не менее двух трансформаторов (автотрансформаторов) или</w:t>
      </w:r>
    </w:p>
    <w:p w:rsidR="00564EEE" w:rsidRPr="00564EEE" w:rsidRDefault="00564EEE">
      <w:pPr>
        <w:pStyle w:val="ConsPlusNormal"/>
        <w:ind w:firstLine="540"/>
        <w:jc w:val="both"/>
      </w:pPr>
      <w:r w:rsidRPr="00564EEE">
        <w:t xml:space="preserve">высшим классом напряжения 330 </w:t>
      </w:r>
      <w:proofErr w:type="spellStart"/>
      <w:r w:rsidRPr="00564EEE">
        <w:t>кВ</w:t>
      </w:r>
      <w:proofErr w:type="spellEnd"/>
      <w:r w:rsidRPr="00564EEE">
        <w:t xml:space="preserve"> и более с присоединением по высшему классу напряжения не менее двух линий электропередачи и не менее одного автотрансформатора;</w:t>
      </w:r>
    </w:p>
    <w:p w:rsidR="00564EEE" w:rsidRPr="00564EEE" w:rsidRDefault="00564EEE">
      <w:pPr>
        <w:pStyle w:val="ConsPlusNormal"/>
        <w:ind w:firstLine="540"/>
        <w:jc w:val="both"/>
      </w:pPr>
      <w:r w:rsidRPr="00564EEE">
        <w:t>б) соединение РУ электростанции с одной узловой подстанцией производится не более чем четырьмя цепями ЛЭП одного класса напряжения;</w:t>
      </w:r>
    </w:p>
    <w:p w:rsidR="00564EEE" w:rsidRPr="00564EEE" w:rsidRDefault="00564EEE">
      <w:pPr>
        <w:pStyle w:val="ConsPlusNormal"/>
        <w:ind w:firstLine="540"/>
        <w:jc w:val="both"/>
      </w:pPr>
      <w:r w:rsidRPr="00564EEE">
        <w:t xml:space="preserve">в) не должны использоваться ЛЭП с </w:t>
      </w:r>
      <w:proofErr w:type="spellStart"/>
      <w:r w:rsidRPr="00564EEE">
        <w:t>трехцепными</w:t>
      </w:r>
      <w:proofErr w:type="spellEnd"/>
      <w:r w:rsidRPr="00564EEE">
        <w:t xml:space="preserve"> и более опорами.</w:t>
      </w:r>
    </w:p>
    <w:p w:rsidR="00564EEE" w:rsidRPr="00564EEE" w:rsidRDefault="00564EEE">
      <w:pPr>
        <w:pStyle w:val="ConsPlusNormal"/>
        <w:ind w:firstLine="540"/>
        <w:jc w:val="both"/>
      </w:pPr>
      <w:r w:rsidRPr="00564EEE">
        <w:t>13. При отсутствии на электростанции РУ в качестве РУ электростанции принимается ближайшая узловая подстанция, имеющая тот класс напряжения, на котором производится присоединение нового генерирующего объекта.</w:t>
      </w:r>
    </w:p>
    <w:p w:rsidR="00564EEE" w:rsidRPr="00564EEE" w:rsidRDefault="00564EEE">
      <w:pPr>
        <w:pStyle w:val="ConsPlusNormal"/>
        <w:ind w:firstLine="540"/>
        <w:jc w:val="both"/>
      </w:pPr>
      <w:r w:rsidRPr="00564EEE">
        <w:t>14. Классы напряжения ЛЭП предварительной схемы выдачи мощности электростанции определяются в соответствии со шкалой номинальных напряжений, указанной в пункте 11 настоящих Методических рекомендаций.</w:t>
      </w:r>
    </w:p>
    <w:p w:rsidR="00564EEE" w:rsidRPr="00564EEE" w:rsidRDefault="00564EEE">
      <w:pPr>
        <w:pStyle w:val="ConsPlusNormal"/>
        <w:ind w:firstLine="540"/>
        <w:jc w:val="both"/>
      </w:pPr>
      <w:r w:rsidRPr="00564EEE">
        <w:t xml:space="preserve">15. Протяженность ЛЭП предварительной схемы выдачи мощности электростанции определяется как расстояние по прямой между географическими координатами реконструируемой электростанции (предполагаемого места расположения строящейся электростанции) и географическими координатами узловой подстанции (подстанций), выбранной заявителем и согласованной сетевой организацией в порядке, предусмотренном договором об осуществлении технологического присоединения. При этом при установлении протяженности ЛЭП </w:t>
      </w:r>
      <w:r w:rsidRPr="00564EEE">
        <w:lastRenderedPageBreak/>
        <w:t>необходимо обеспечивать ее соответствие предельным значениям длины ЛЭП, предусмотренным приложениями 1 и 4 к настоящим Методическим рекомендациям.</w:t>
      </w:r>
    </w:p>
    <w:p w:rsidR="00564EEE" w:rsidRPr="00564EEE" w:rsidRDefault="00564EEE">
      <w:pPr>
        <w:pStyle w:val="ConsPlusNormal"/>
        <w:ind w:firstLine="540"/>
        <w:jc w:val="both"/>
      </w:pPr>
      <w:r w:rsidRPr="00564EEE">
        <w:t xml:space="preserve">16. В случае расположения электростанции (земельного участка, предоставленного для строительства электростанции) в зоне плотной городской либо промышленной застройки, где прокладка трассы </w:t>
      </w:r>
      <w:proofErr w:type="gramStart"/>
      <w:r w:rsidRPr="00564EEE">
        <w:t>ВЛ</w:t>
      </w:r>
      <w:proofErr w:type="gramEnd"/>
      <w:r w:rsidRPr="00564EEE">
        <w:t xml:space="preserve"> невозможна, для подключения ЛЭП к электростанции может предусматриваться строительство КЛ либо КВЛ, при этом необходимо, чтобы длина кабельных участков не превышала предельные значения длины, определенные приложением 1 к настоящим Методическим рекомендациям.</w:t>
      </w:r>
    </w:p>
    <w:p w:rsidR="00564EEE" w:rsidRPr="00564EEE" w:rsidRDefault="00564EEE">
      <w:pPr>
        <w:pStyle w:val="ConsPlusNormal"/>
        <w:ind w:firstLine="540"/>
        <w:jc w:val="both"/>
      </w:pPr>
      <w:r w:rsidRPr="00564EEE">
        <w:t>17. Определенные в соответствии с настоящим разделом предварительные параметры ЛЭП должны соответствовать условиям допустимости применения найденного состава ЛЭП, указанным в приложении 2 к настоящим Методическим рекомендациям.</w:t>
      </w:r>
    </w:p>
    <w:p w:rsidR="00564EEE" w:rsidRPr="00564EEE" w:rsidRDefault="00564EEE">
      <w:pPr>
        <w:pStyle w:val="ConsPlusNormal"/>
        <w:ind w:firstLine="540"/>
        <w:jc w:val="both"/>
      </w:pPr>
      <w:r w:rsidRPr="00564EEE">
        <w:t>18. Количество ячеек трехфазного выключателя РУ, ячеек управляемого шунтирующего реактора и ячеек (авто) трансформаторного оборудования должно соответствовать количеству ЛЭП, рассчитанному в соответствии с пунктом 12 настоящих Методических рекомендаций.</w:t>
      </w:r>
    </w:p>
    <w:p w:rsidR="00564EEE" w:rsidRPr="00564EEE" w:rsidRDefault="00564EEE">
      <w:pPr>
        <w:pStyle w:val="ConsPlusNormal"/>
        <w:ind w:firstLine="540"/>
        <w:jc w:val="both"/>
      </w:pPr>
      <w:r w:rsidRPr="00564EEE">
        <w:t xml:space="preserve">При этом в состав ячеек выключателей включаются высоковольтные </w:t>
      </w:r>
      <w:proofErr w:type="spellStart"/>
      <w:r w:rsidRPr="00564EEE">
        <w:t>элегазовые</w:t>
      </w:r>
      <w:proofErr w:type="spellEnd"/>
      <w:r w:rsidRPr="00564EEE">
        <w:t xml:space="preserve"> выключатели, разъединители, трансформаторы тока, трансформаторы напряжения и оборудование релейной защиты ячейки выключателя. В состав ячеек трансформаторов (реакторов) включаются трансформаторы (реакторы), ограничители перенапряжения и оборудование релейной защиты трансформатора (реактора).</w:t>
      </w:r>
    </w:p>
    <w:p w:rsidR="00564EEE" w:rsidRPr="00564EEE" w:rsidRDefault="00564EEE">
      <w:pPr>
        <w:pStyle w:val="ConsPlusNormal"/>
        <w:jc w:val="center"/>
      </w:pPr>
    </w:p>
    <w:p w:rsidR="00564EEE" w:rsidRPr="00564EEE" w:rsidRDefault="00564EEE">
      <w:pPr>
        <w:pStyle w:val="ConsPlusNormal"/>
        <w:jc w:val="center"/>
      </w:pPr>
      <w:r w:rsidRPr="00564EEE">
        <w:t>V. Рекомендуемые сроки осуществления мероприятий</w:t>
      </w:r>
    </w:p>
    <w:p w:rsidR="00564EEE" w:rsidRPr="00564EEE" w:rsidRDefault="00564EEE">
      <w:pPr>
        <w:pStyle w:val="ConsPlusNormal"/>
        <w:jc w:val="center"/>
      </w:pPr>
      <w:r w:rsidRPr="00564EEE">
        <w:t>по технологическому присоединению генерирующих объектов</w:t>
      </w:r>
    </w:p>
    <w:p w:rsidR="00564EEE" w:rsidRPr="00564EEE" w:rsidRDefault="00564EEE">
      <w:pPr>
        <w:pStyle w:val="ConsPlusNormal"/>
        <w:jc w:val="center"/>
      </w:pPr>
      <w:r w:rsidRPr="00564EEE">
        <w:t>к объектам электросетевого хозяйства</w:t>
      </w:r>
    </w:p>
    <w:p w:rsidR="00564EEE" w:rsidRPr="00564EEE" w:rsidRDefault="00564EEE">
      <w:pPr>
        <w:pStyle w:val="ConsPlusNormal"/>
        <w:jc w:val="center"/>
      </w:pPr>
    </w:p>
    <w:p w:rsidR="00564EEE" w:rsidRPr="00564EEE" w:rsidRDefault="00564EEE">
      <w:pPr>
        <w:pStyle w:val="ConsPlusNormal"/>
        <w:ind w:firstLine="540"/>
        <w:jc w:val="both"/>
      </w:pPr>
      <w:bookmarkStart w:id="19" w:name="P139"/>
      <w:bookmarkEnd w:id="19"/>
      <w:r w:rsidRPr="00564EEE">
        <w:t>19. Мероприятия по технологическому присоединению генерирующих объектов к объектам электросетевого хозяйства рекомендуется осуществлять с соблюдением следующих сроков:</w:t>
      </w:r>
    </w:p>
    <w:p w:rsidR="00564EEE" w:rsidRPr="00564EEE" w:rsidRDefault="00564EEE">
      <w:pPr>
        <w:pStyle w:val="ConsPlusNormal"/>
        <w:ind w:firstLine="540"/>
        <w:jc w:val="both"/>
      </w:pPr>
      <w:r w:rsidRPr="00564EEE">
        <w:t>1) в случае если договором об осуществлении технологического присоединения обязанность за разработку схемы выдачи мощности строящихся (реконструируемых) генерирующих объектов возложена на сетевую организацию:</w:t>
      </w:r>
    </w:p>
    <w:p w:rsidR="00564EEE" w:rsidRPr="00564EEE" w:rsidRDefault="00564EEE">
      <w:pPr>
        <w:pStyle w:val="ConsPlusNormal"/>
        <w:ind w:firstLine="540"/>
        <w:jc w:val="both"/>
      </w:pPr>
      <w:r w:rsidRPr="00564EEE">
        <w:t>разработка технического задания на разработку схемы выдачи мощности электростанции и его согласование с заявителем - 30 рабочих дней;</w:t>
      </w:r>
    </w:p>
    <w:p w:rsidR="00564EEE" w:rsidRPr="00564EEE" w:rsidRDefault="00564EEE">
      <w:pPr>
        <w:pStyle w:val="ConsPlusNormal"/>
        <w:ind w:firstLine="540"/>
        <w:jc w:val="both"/>
      </w:pPr>
      <w:r w:rsidRPr="00564EEE">
        <w:t>согласование технического задания на разработку схемы выдачи мощности электростанции с системным оператором - 5 рабочих дней;</w:t>
      </w:r>
    </w:p>
    <w:p w:rsidR="00564EEE" w:rsidRPr="00564EEE" w:rsidRDefault="00564EEE">
      <w:pPr>
        <w:pStyle w:val="ConsPlusNormal"/>
        <w:ind w:firstLine="540"/>
        <w:jc w:val="both"/>
      </w:pPr>
      <w:r w:rsidRPr="00564EEE">
        <w:t>разработка схемы выдачи мощности электростанции - 200 календарных дней;</w:t>
      </w:r>
    </w:p>
    <w:p w:rsidR="00564EEE" w:rsidRPr="00564EEE" w:rsidRDefault="00564EEE">
      <w:pPr>
        <w:pStyle w:val="ConsPlusNormal"/>
        <w:ind w:firstLine="540"/>
        <w:jc w:val="both"/>
      </w:pPr>
      <w:r w:rsidRPr="00564EEE">
        <w:t>согласование схемы выдачи мощности электростанции с заявителем - 10 рабочих дней;</w:t>
      </w:r>
    </w:p>
    <w:p w:rsidR="00564EEE" w:rsidRPr="00564EEE" w:rsidRDefault="00564EEE">
      <w:pPr>
        <w:pStyle w:val="ConsPlusNormal"/>
        <w:ind w:firstLine="540"/>
        <w:jc w:val="both"/>
      </w:pPr>
      <w:r w:rsidRPr="00564EEE">
        <w:t>согласование схемы выдачи мощности электростанции с системным оператором - 15 рабочих дней (в случае особо сложного характера технологического присоединения указанный срок может быть увеличен в соответствии с действующими нормативными правовыми актами Российской Федерации);</w:t>
      </w:r>
    </w:p>
    <w:p w:rsidR="00564EEE" w:rsidRPr="00564EEE" w:rsidRDefault="00564EEE">
      <w:pPr>
        <w:pStyle w:val="ConsPlusNormal"/>
        <w:ind w:firstLine="540"/>
        <w:jc w:val="both"/>
      </w:pPr>
      <w:r w:rsidRPr="00564EEE">
        <w:t>2) разработка технических условий на технологическое присоединение - 20 рабочих дней;</w:t>
      </w:r>
    </w:p>
    <w:p w:rsidR="00564EEE" w:rsidRPr="00564EEE" w:rsidRDefault="00564EEE">
      <w:pPr>
        <w:pStyle w:val="ConsPlusNormal"/>
        <w:ind w:firstLine="540"/>
        <w:jc w:val="both"/>
      </w:pPr>
      <w:r w:rsidRPr="00564EEE">
        <w:t>3) согласование технических условий с заявителем - 15 рабочих дней;</w:t>
      </w:r>
    </w:p>
    <w:p w:rsidR="00564EEE" w:rsidRPr="00564EEE" w:rsidRDefault="00564EEE">
      <w:pPr>
        <w:pStyle w:val="ConsPlusNormal"/>
        <w:ind w:firstLine="540"/>
        <w:jc w:val="both"/>
      </w:pPr>
      <w:r w:rsidRPr="00564EEE">
        <w:t>4) согласование технических условий с системным оператором - 15 рабочих дней (в случае особо сложного характера технологического присоединения указанный срок может быть увеличен в соответствии с действующими нормативными правовыми актами Российской Федерации);</w:t>
      </w:r>
    </w:p>
    <w:p w:rsidR="00564EEE" w:rsidRPr="00564EEE" w:rsidRDefault="00564EEE">
      <w:pPr>
        <w:pStyle w:val="ConsPlusNormal"/>
        <w:ind w:firstLine="540"/>
        <w:jc w:val="both"/>
      </w:pPr>
      <w:r w:rsidRPr="00564EEE">
        <w:t>5) сроки выполнения технических условий, в том числе выполнения работ по проектированию и строительству (реконструкции) объектов электросетевого хозяйства, определяемые в соответствии с приложением 5 к настоящим Методическим рекомендациям в зависимости от необходимости строительства (реконструкции) объектов электросетевого хозяйства, определяемой исходя из прочих предварительных параметров выдачи мощности строящихся (реконструируемых) генерирующих объектов.</w:t>
      </w:r>
    </w:p>
    <w:p w:rsidR="00564EEE" w:rsidRPr="00564EEE" w:rsidRDefault="00564EEE">
      <w:pPr>
        <w:pStyle w:val="ConsPlusNormal"/>
        <w:jc w:val="right"/>
      </w:pPr>
    </w:p>
    <w:p w:rsidR="00564EEE" w:rsidRPr="00564EEE" w:rsidRDefault="00564EEE">
      <w:pPr>
        <w:pStyle w:val="ConsPlusNormal"/>
        <w:jc w:val="right"/>
      </w:pPr>
    </w:p>
    <w:p w:rsidR="00564EEE" w:rsidRPr="00564EEE" w:rsidRDefault="00564EEE">
      <w:pPr>
        <w:pStyle w:val="ConsPlusNormal"/>
        <w:jc w:val="right"/>
      </w:pPr>
    </w:p>
    <w:p w:rsidR="00564EEE" w:rsidRPr="00564EEE" w:rsidRDefault="00564EEE">
      <w:pPr>
        <w:pStyle w:val="ConsPlusNormal"/>
        <w:jc w:val="right"/>
      </w:pPr>
    </w:p>
    <w:p w:rsidR="00564EEE" w:rsidRPr="00564EEE" w:rsidRDefault="00564EEE">
      <w:pPr>
        <w:pStyle w:val="ConsPlusNormal"/>
        <w:jc w:val="right"/>
      </w:pPr>
    </w:p>
    <w:p w:rsidR="00564EEE" w:rsidRPr="00564EEE" w:rsidRDefault="00564EEE">
      <w:pPr>
        <w:pStyle w:val="ConsPlusNormal"/>
        <w:jc w:val="right"/>
      </w:pPr>
      <w:r w:rsidRPr="00564EEE">
        <w:t>Приложение 1</w:t>
      </w:r>
    </w:p>
    <w:p w:rsidR="00564EEE" w:rsidRPr="00564EEE" w:rsidRDefault="00564EEE">
      <w:pPr>
        <w:pStyle w:val="ConsPlusNormal"/>
        <w:jc w:val="right"/>
      </w:pPr>
      <w:r w:rsidRPr="00564EEE">
        <w:t>к Методическим рекомендациям</w:t>
      </w:r>
    </w:p>
    <w:p w:rsidR="00564EEE" w:rsidRPr="00564EEE" w:rsidRDefault="00564EEE">
      <w:pPr>
        <w:pStyle w:val="ConsPlusNormal"/>
        <w:jc w:val="right"/>
      </w:pPr>
      <w:r w:rsidRPr="00564EEE">
        <w:t>по определению предварительных параметров</w:t>
      </w:r>
    </w:p>
    <w:p w:rsidR="00564EEE" w:rsidRPr="00564EEE" w:rsidRDefault="00564EEE">
      <w:pPr>
        <w:pStyle w:val="ConsPlusNormal"/>
        <w:jc w:val="right"/>
      </w:pPr>
      <w:r w:rsidRPr="00564EEE">
        <w:t xml:space="preserve">выдачи мощности </w:t>
      </w:r>
      <w:proofErr w:type="gramStart"/>
      <w:r w:rsidRPr="00564EEE">
        <w:t>строящихся</w:t>
      </w:r>
      <w:proofErr w:type="gramEnd"/>
    </w:p>
    <w:p w:rsidR="00564EEE" w:rsidRPr="00564EEE" w:rsidRDefault="00564EEE">
      <w:pPr>
        <w:pStyle w:val="ConsPlusNormal"/>
        <w:jc w:val="right"/>
      </w:pPr>
      <w:r w:rsidRPr="00564EEE">
        <w:t>(реконструируемых) генерирующих объектов</w:t>
      </w:r>
    </w:p>
    <w:p w:rsidR="00564EEE" w:rsidRPr="00564EEE" w:rsidRDefault="00564EEE">
      <w:pPr>
        <w:pStyle w:val="ConsPlusNormal"/>
        <w:jc w:val="right"/>
      </w:pPr>
      <w:r w:rsidRPr="00564EEE">
        <w:t>в условиях нормальных режимов</w:t>
      </w:r>
    </w:p>
    <w:p w:rsidR="00564EEE" w:rsidRPr="00564EEE" w:rsidRDefault="00564EEE">
      <w:pPr>
        <w:pStyle w:val="ConsPlusNormal"/>
        <w:jc w:val="right"/>
      </w:pPr>
      <w:r w:rsidRPr="00564EEE">
        <w:t xml:space="preserve">функционирования энергосистемы, </w:t>
      </w:r>
      <w:proofErr w:type="gramStart"/>
      <w:r w:rsidRPr="00564EEE">
        <w:t>учитываемых</w:t>
      </w:r>
      <w:proofErr w:type="gramEnd"/>
    </w:p>
    <w:p w:rsidR="00564EEE" w:rsidRPr="00564EEE" w:rsidRDefault="00564EEE">
      <w:pPr>
        <w:pStyle w:val="ConsPlusNormal"/>
        <w:jc w:val="right"/>
      </w:pPr>
      <w:r w:rsidRPr="00564EEE">
        <w:t xml:space="preserve">при определении платы за </w:t>
      </w:r>
      <w:proofErr w:type="gramStart"/>
      <w:r w:rsidRPr="00564EEE">
        <w:t>технологическое</w:t>
      </w:r>
      <w:proofErr w:type="gramEnd"/>
    </w:p>
    <w:p w:rsidR="00564EEE" w:rsidRPr="00564EEE" w:rsidRDefault="00564EEE">
      <w:pPr>
        <w:pStyle w:val="ConsPlusNormal"/>
        <w:jc w:val="right"/>
      </w:pPr>
      <w:r w:rsidRPr="00564EEE">
        <w:t>присоединение таких генерирующих объектов</w:t>
      </w:r>
    </w:p>
    <w:p w:rsidR="00564EEE" w:rsidRPr="00564EEE" w:rsidRDefault="00564EEE">
      <w:pPr>
        <w:pStyle w:val="ConsPlusNormal"/>
        <w:jc w:val="right"/>
      </w:pPr>
      <w:r w:rsidRPr="00564EEE">
        <w:t>к объектам электросетевого хозяйства</w:t>
      </w:r>
    </w:p>
    <w:p w:rsidR="00564EEE" w:rsidRPr="00564EEE" w:rsidRDefault="00564EEE">
      <w:pPr>
        <w:pStyle w:val="ConsPlusNormal"/>
        <w:jc w:val="center"/>
      </w:pPr>
    </w:p>
    <w:p w:rsidR="00564EEE" w:rsidRPr="00564EEE" w:rsidRDefault="00564EEE">
      <w:pPr>
        <w:pStyle w:val="ConsPlusNormal"/>
        <w:jc w:val="center"/>
      </w:pPr>
      <w:bookmarkStart w:id="20" w:name="P166"/>
      <w:bookmarkEnd w:id="20"/>
      <w:r w:rsidRPr="00564EEE">
        <w:t xml:space="preserve">НАТУРАЛЬНАЯ МОЩНОСТЬ И ПРЕДЕЛЬНЫЕ ЗНАЧЕНИЯ ДЛИНЫ </w:t>
      </w:r>
      <w:proofErr w:type="gramStart"/>
      <w:r w:rsidRPr="00564EEE">
        <w:t>ВЛ</w:t>
      </w:r>
      <w:proofErr w:type="gramEnd"/>
    </w:p>
    <w:p w:rsidR="00564EEE" w:rsidRPr="00564EEE" w:rsidRDefault="00564EEE">
      <w:pPr>
        <w:pStyle w:val="ConsPlusNormal"/>
        <w:jc w:val="center"/>
      </w:pPr>
      <w:r w:rsidRPr="00564EEE">
        <w:t>КЛАССОМ НАПРЯЖЕНИЯ 110 КВ И ВЫШЕ</w:t>
      </w:r>
    </w:p>
    <w:p w:rsidR="00564EEE" w:rsidRPr="00564EEE" w:rsidRDefault="00564EEE">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760"/>
        <w:gridCol w:w="3480"/>
        <w:gridCol w:w="3000"/>
      </w:tblGrid>
      <w:tr w:rsidR="00564EEE" w:rsidRPr="00564EEE">
        <w:trPr>
          <w:trHeight w:val="240"/>
        </w:trPr>
        <w:tc>
          <w:tcPr>
            <w:tcW w:w="2760" w:type="dxa"/>
          </w:tcPr>
          <w:p w:rsidR="00564EEE" w:rsidRPr="00564EEE" w:rsidRDefault="00564EEE">
            <w:pPr>
              <w:pStyle w:val="ConsPlusNonformat"/>
              <w:jc w:val="both"/>
            </w:pPr>
            <w:r w:rsidRPr="00564EEE">
              <w:t xml:space="preserve">     Номинальное     </w:t>
            </w:r>
          </w:p>
          <w:p w:rsidR="00564EEE" w:rsidRPr="00564EEE" w:rsidRDefault="00564EEE">
            <w:pPr>
              <w:pStyle w:val="ConsPlusNonformat"/>
              <w:jc w:val="both"/>
            </w:pPr>
            <w:r w:rsidRPr="00564EEE">
              <w:t xml:space="preserve">   напряжение, </w:t>
            </w:r>
            <w:proofErr w:type="spellStart"/>
            <w:r w:rsidRPr="00564EEE">
              <w:t>кВ</w:t>
            </w:r>
            <w:proofErr w:type="spellEnd"/>
            <w:r w:rsidRPr="00564EEE">
              <w:t xml:space="preserve">    </w:t>
            </w:r>
          </w:p>
        </w:tc>
        <w:tc>
          <w:tcPr>
            <w:tcW w:w="3480" w:type="dxa"/>
          </w:tcPr>
          <w:p w:rsidR="00564EEE" w:rsidRPr="00564EEE" w:rsidRDefault="00564EEE">
            <w:pPr>
              <w:pStyle w:val="ConsPlusNonformat"/>
              <w:jc w:val="both"/>
            </w:pPr>
            <w:r w:rsidRPr="00564EEE">
              <w:t xml:space="preserve">  Натуральная мощность </w:t>
            </w:r>
            <w:proofErr w:type="gramStart"/>
            <w:r w:rsidRPr="00564EEE">
              <w:t>ВЛ</w:t>
            </w:r>
            <w:proofErr w:type="gramEnd"/>
            <w:r w:rsidRPr="00564EEE">
              <w:t xml:space="preserve">, </w:t>
            </w:r>
          </w:p>
          <w:p w:rsidR="00564EEE" w:rsidRPr="00564EEE" w:rsidRDefault="00564EEE">
            <w:pPr>
              <w:pStyle w:val="ConsPlusNonformat"/>
              <w:jc w:val="both"/>
            </w:pPr>
            <w:r w:rsidRPr="00564EEE">
              <w:t xml:space="preserve">            МВт            </w:t>
            </w:r>
          </w:p>
        </w:tc>
        <w:tc>
          <w:tcPr>
            <w:tcW w:w="3000" w:type="dxa"/>
          </w:tcPr>
          <w:p w:rsidR="00564EEE" w:rsidRPr="00564EEE" w:rsidRDefault="00564EEE">
            <w:pPr>
              <w:pStyle w:val="ConsPlusNonformat"/>
              <w:jc w:val="both"/>
            </w:pPr>
            <w:r w:rsidRPr="00564EEE">
              <w:t xml:space="preserve"> Предельное значение   </w:t>
            </w:r>
          </w:p>
          <w:p w:rsidR="00564EEE" w:rsidRPr="00564EEE" w:rsidRDefault="00564EEE">
            <w:pPr>
              <w:pStyle w:val="ConsPlusNonformat"/>
              <w:jc w:val="both"/>
            </w:pPr>
            <w:r w:rsidRPr="00564EEE">
              <w:t xml:space="preserve">     длины </w:t>
            </w:r>
            <w:proofErr w:type="gramStart"/>
            <w:r w:rsidRPr="00564EEE">
              <w:t>ВЛ</w:t>
            </w:r>
            <w:proofErr w:type="gramEnd"/>
            <w:r w:rsidRPr="00564EEE">
              <w:t xml:space="preserve">, км      </w:t>
            </w:r>
          </w:p>
        </w:tc>
      </w:tr>
      <w:tr w:rsidR="00564EEE" w:rsidRPr="00564EEE">
        <w:trPr>
          <w:trHeight w:val="240"/>
        </w:trPr>
        <w:tc>
          <w:tcPr>
            <w:tcW w:w="2760" w:type="dxa"/>
            <w:tcBorders>
              <w:top w:val="nil"/>
            </w:tcBorders>
          </w:tcPr>
          <w:p w:rsidR="00564EEE" w:rsidRPr="00564EEE" w:rsidRDefault="00564EEE">
            <w:pPr>
              <w:pStyle w:val="ConsPlusNonformat"/>
              <w:jc w:val="both"/>
            </w:pPr>
            <w:r w:rsidRPr="00564EEE">
              <w:t xml:space="preserve">      110 (157)      </w:t>
            </w:r>
          </w:p>
        </w:tc>
        <w:tc>
          <w:tcPr>
            <w:tcW w:w="3480" w:type="dxa"/>
            <w:tcBorders>
              <w:top w:val="nil"/>
            </w:tcBorders>
          </w:tcPr>
          <w:p w:rsidR="00564EEE" w:rsidRPr="00564EEE" w:rsidRDefault="00564EEE">
            <w:pPr>
              <w:pStyle w:val="ConsPlusNonformat"/>
              <w:jc w:val="both"/>
            </w:pPr>
            <w:r w:rsidRPr="00564EEE">
              <w:t xml:space="preserve">            30             </w:t>
            </w:r>
          </w:p>
        </w:tc>
        <w:tc>
          <w:tcPr>
            <w:tcW w:w="3000" w:type="dxa"/>
            <w:tcBorders>
              <w:top w:val="nil"/>
            </w:tcBorders>
          </w:tcPr>
          <w:p w:rsidR="00564EEE" w:rsidRPr="00564EEE" w:rsidRDefault="00564EEE">
            <w:pPr>
              <w:pStyle w:val="ConsPlusNonformat"/>
              <w:jc w:val="both"/>
            </w:pPr>
            <w:r w:rsidRPr="00564EEE">
              <w:t xml:space="preserve">          80           </w:t>
            </w:r>
          </w:p>
        </w:tc>
      </w:tr>
      <w:tr w:rsidR="00564EEE" w:rsidRPr="00564EEE">
        <w:trPr>
          <w:trHeight w:val="240"/>
        </w:trPr>
        <w:tc>
          <w:tcPr>
            <w:tcW w:w="2760" w:type="dxa"/>
            <w:tcBorders>
              <w:top w:val="nil"/>
            </w:tcBorders>
          </w:tcPr>
          <w:p w:rsidR="00564EEE" w:rsidRPr="00564EEE" w:rsidRDefault="00564EEE">
            <w:pPr>
              <w:pStyle w:val="ConsPlusNonformat"/>
              <w:jc w:val="both"/>
            </w:pPr>
            <w:r w:rsidRPr="00564EEE">
              <w:t xml:space="preserve">         220         </w:t>
            </w:r>
          </w:p>
        </w:tc>
        <w:tc>
          <w:tcPr>
            <w:tcW w:w="3480" w:type="dxa"/>
            <w:tcBorders>
              <w:top w:val="nil"/>
            </w:tcBorders>
          </w:tcPr>
          <w:p w:rsidR="00564EEE" w:rsidRPr="00564EEE" w:rsidRDefault="00564EEE">
            <w:pPr>
              <w:pStyle w:val="ConsPlusNonformat"/>
              <w:jc w:val="both"/>
            </w:pPr>
            <w:r w:rsidRPr="00564EEE">
              <w:t xml:space="preserve">            135            </w:t>
            </w:r>
          </w:p>
        </w:tc>
        <w:tc>
          <w:tcPr>
            <w:tcW w:w="3000" w:type="dxa"/>
            <w:tcBorders>
              <w:top w:val="nil"/>
            </w:tcBorders>
          </w:tcPr>
          <w:p w:rsidR="00564EEE" w:rsidRPr="00564EEE" w:rsidRDefault="00564EEE">
            <w:pPr>
              <w:pStyle w:val="ConsPlusNonformat"/>
              <w:jc w:val="both"/>
            </w:pPr>
            <w:r w:rsidRPr="00564EEE">
              <w:t xml:space="preserve">          250          </w:t>
            </w:r>
          </w:p>
        </w:tc>
      </w:tr>
      <w:tr w:rsidR="00564EEE" w:rsidRPr="00564EEE">
        <w:trPr>
          <w:trHeight w:val="240"/>
        </w:trPr>
        <w:tc>
          <w:tcPr>
            <w:tcW w:w="2760" w:type="dxa"/>
            <w:tcBorders>
              <w:top w:val="nil"/>
            </w:tcBorders>
          </w:tcPr>
          <w:p w:rsidR="00564EEE" w:rsidRPr="00564EEE" w:rsidRDefault="00564EEE">
            <w:pPr>
              <w:pStyle w:val="ConsPlusNonformat"/>
              <w:jc w:val="both"/>
            </w:pPr>
            <w:r w:rsidRPr="00564EEE">
              <w:t xml:space="preserve">         330         </w:t>
            </w:r>
          </w:p>
        </w:tc>
        <w:tc>
          <w:tcPr>
            <w:tcW w:w="3480" w:type="dxa"/>
            <w:tcBorders>
              <w:top w:val="nil"/>
            </w:tcBorders>
          </w:tcPr>
          <w:p w:rsidR="00564EEE" w:rsidRPr="00564EEE" w:rsidRDefault="00564EEE">
            <w:pPr>
              <w:pStyle w:val="ConsPlusNonformat"/>
              <w:jc w:val="both"/>
            </w:pPr>
            <w:r w:rsidRPr="00564EEE">
              <w:t xml:space="preserve">            360            </w:t>
            </w:r>
          </w:p>
        </w:tc>
        <w:tc>
          <w:tcPr>
            <w:tcW w:w="3000" w:type="dxa"/>
            <w:tcBorders>
              <w:top w:val="nil"/>
            </w:tcBorders>
          </w:tcPr>
          <w:p w:rsidR="00564EEE" w:rsidRPr="00564EEE" w:rsidRDefault="00564EEE">
            <w:pPr>
              <w:pStyle w:val="ConsPlusNonformat"/>
              <w:jc w:val="both"/>
            </w:pPr>
            <w:r w:rsidRPr="00564EEE">
              <w:t xml:space="preserve">          400          </w:t>
            </w:r>
          </w:p>
        </w:tc>
      </w:tr>
      <w:tr w:rsidR="00564EEE" w:rsidRPr="00564EEE">
        <w:trPr>
          <w:trHeight w:val="240"/>
        </w:trPr>
        <w:tc>
          <w:tcPr>
            <w:tcW w:w="2760" w:type="dxa"/>
            <w:tcBorders>
              <w:top w:val="nil"/>
            </w:tcBorders>
          </w:tcPr>
          <w:p w:rsidR="00564EEE" w:rsidRPr="00564EEE" w:rsidRDefault="00564EEE">
            <w:pPr>
              <w:pStyle w:val="ConsPlusNonformat"/>
              <w:jc w:val="both"/>
            </w:pPr>
            <w:r w:rsidRPr="00564EEE">
              <w:t xml:space="preserve">         500         </w:t>
            </w:r>
          </w:p>
        </w:tc>
        <w:tc>
          <w:tcPr>
            <w:tcW w:w="3480" w:type="dxa"/>
            <w:tcBorders>
              <w:top w:val="nil"/>
            </w:tcBorders>
          </w:tcPr>
          <w:p w:rsidR="00564EEE" w:rsidRPr="00564EEE" w:rsidRDefault="00564EEE">
            <w:pPr>
              <w:pStyle w:val="ConsPlusNonformat"/>
              <w:jc w:val="both"/>
            </w:pPr>
            <w:r w:rsidRPr="00564EEE">
              <w:t xml:space="preserve">            900            </w:t>
            </w:r>
          </w:p>
        </w:tc>
        <w:tc>
          <w:tcPr>
            <w:tcW w:w="3000" w:type="dxa"/>
            <w:tcBorders>
              <w:top w:val="nil"/>
            </w:tcBorders>
          </w:tcPr>
          <w:p w:rsidR="00564EEE" w:rsidRPr="00564EEE" w:rsidRDefault="00564EEE">
            <w:pPr>
              <w:pStyle w:val="ConsPlusNonformat"/>
              <w:jc w:val="both"/>
            </w:pPr>
            <w:r w:rsidRPr="00564EEE">
              <w:t xml:space="preserve">          500          </w:t>
            </w:r>
          </w:p>
        </w:tc>
      </w:tr>
      <w:tr w:rsidR="00564EEE" w:rsidRPr="00564EEE">
        <w:trPr>
          <w:trHeight w:val="240"/>
        </w:trPr>
        <w:tc>
          <w:tcPr>
            <w:tcW w:w="2760" w:type="dxa"/>
            <w:tcBorders>
              <w:top w:val="nil"/>
            </w:tcBorders>
          </w:tcPr>
          <w:p w:rsidR="00564EEE" w:rsidRPr="00564EEE" w:rsidRDefault="00564EEE">
            <w:pPr>
              <w:pStyle w:val="ConsPlusNonformat"/>
              <w:jc w:val="both"/>
            </w:pPr>
            <w:r w:rsidRPr="00564EEE">
              <w:t xml:space="preserve">         750         </w:t>
            </w:r>
          </w:p>
        </w:tc>
        <w:tc>
          <w:tcPr>
            <w:tcW w:w="3480" w:type="dxa"/>
            <w:tcBorders>
              <w:top w:val="nil"/>
            </w:tcBorders>
          </w:tcPr>
          <w:p w:rsidR="00564EEE" w:rsidRPr="00564EEE" w:rsidRDefault="00564EEE">
            <w:pPr>
              <w:pStyle w:val="ConsPlusNonformat"/>
              <w:jc w:val="both"/>
            </w:pPr>
            <w:r w:rsidRPr="00564EEE">
              <w:t xml:space="preserve">           2100            </w:t>
            </w:r>
          </w:p>
        </w:tc>
        <w:tc>
          <w:tcPr>
            <w:tcW w:w="3000" w:type="dxa"/>
            <w:tcBorders>
              <w:top w:val="nil"/>
            </w:tcBorders>
          </w:tcPr>
          <w:p w:rsidR="00564EEE" w:rsidRPr="00564EEE" w:rsidRDefault="00564EEE">
            <w:pPr>
              <w:pStyle w:val="ConsPlusNonformat"/>
              <w:jc w:val="both"/>
            </w:pPr>
            <w:r w:rsidRPr="00564EEE">
              <w:t xml:space="preserve">         1000          </w:t>
            </w:r>
          </w:p>
        </w:tc>
      </w:tr>
    </w:tbl>
    <w:p w:rsidR="00564EEE" w:rsidRPr="00564EEE" w:rsidRDefault="00564EEE">
      <w:pPr>
        <w:pStyle w:val="ConsPlusNormal"/>
        <w:ind w:firstLine="540"/>
        <w:jc w:val="both"/>
      </w:pPr>
    </w:p>
    <w:p w:rsidR="00564EEE" w:rsidRPr="00564EEE" w:rsidRDefault="00564EEE">
      <w:pPr>
        <w:pStyle w:val="ConsPlusNormal"/>
        <w:ind w:firstLine="540"/>
        <w:jc w:val="both"/>
      </w:pPr>
      <w:r w:rsidRPr="00564EEE">
        <w:t>Примечание:</w:t>
      </w:r>
    </w:p>
    <w:p w:rsidR="00564EEE" w:rsidRPr="00564EEE" w:rsidRDefault="00564EEE">
      <w:pPr>
        <w:pStyle w:val="ConsPlusNormal"/>
        <w:ind w:firstLine="540"/>
        <w:jc w:val="both"/>
      </w:pPr>
      <w:r w:rsidRPr="00564EEE">
        <w:t xml:space="preserve">1. </w:t>
      </w:r>
      <w:proofErr w:type="gramStart"/>
      <w:r w:rsidRPr="00564EEE">
        <w:t>Для ЛЭП, сооружаемых в габаритах следующего класса напряжения, допускается соответствующее увеличение предельного значения длины.</w:t>
      </w:r>
      <w:proofErr w:type="gramEnd"/>
    </w:p>
    <w:p w:rsidR="00564EEE" w:rsidRPr="00564EEE" w:rsidRDefault="00564EEE">
      <w:pPr>
        <w:pStyle w:val="ConsPlusNormal"/>
        <w:ind w:firstLine="540"/>
        <w:jc w:val="both"/>
      </w:pPr>
      <w:r w:rsidRPr="00564EEE">
        <w:t xml:space="preserve">2. В случае применения в предварительной схеме выдачи мощности электростанции КЛ для класса напряжения 110 - 330 </w:t>
      </w:r>
      <w:proofErr w:type="spellStart"/>
      <w:r w:rsidRPr="00564EEE">
        <w:t>кВ</w:t>
      </w:r>
      <w:proofErr w:type="spellEnd"/>
      <w:r w:rsidRPr="00564EEE">
        <w:t xml:space="preserve"> данные по натуральной мощности, представленные в настоящем приложении, умножаются на поправочный коэффициент 2, а для класса напряжения 500 </w:t>
      </w:r>
      <w:proofErr w:type="spellStart"/>
      <w:r w:rsidRPr="00564EEE">
        <w:t>кВ</w:t>
      </w:r>
      <w:proofErr w:type="spellEnd"/>
      <w:r w:rsidRPr="00564EEE">
        <w:t xml:space="preserve"> - на поправочный коэффициент 1,25.</w:t>
      </w:r>
    </w:p>
    <w:p w:rsidR="00564EEE" w:rsidRPr="00564EEE" w:rsidRDefault="00564EEE">
      <w:pPr>
        <w:pStyle w:val="ConsPlusNormal"/>
        <w:ind w:firstLine="540"/>
        <w:jc w:val="both"/>
      </w:pPr>
      <w:r w:rsidRPr="00564EEE">
        <w:t xml:space="preserve">При этом предельное значение длины КЛ для класса напряжения 110 - 500 </w:t>
      </w:r>
      <w:proofErr w:type="spellStart"/>
      <w:r w:rsidRPr="00564EEE">
        <w:t>кВ</w:t>
      </w:r>
      <w:proofErr w:type="spellEnd"/>
      <w:r w:rsidRPr="00564EEE">
        <w:t xml:space="preserve"> не должно превышать 10 км.</w:t>
      </w:r>
    </w:p>
    <w:p w:rsidR="00564EEE" w:rsidRPr="00564EEE" w:rsidRDefault="00564EEE">
      <w:pPr>
        <w:pStyle w:val="ConsPlusNormal"/>
        <w:ind w:firstLine="540"/>
        <w:jc w:val="both"/>
      </w:pPr>
      <w:r w:rsidRPr="00564EEE">
        <w:t xml:space="preserve">Для класса напряжения 750 </w:t>
      </w:r>
      <w:proofErr w:type="spellStart"/>
      <w:r w:rsidRPr="00564EEE">
        <w:t>кВ</w:t>
      </w:r>
      <w:proofErr w:type="spellEnd"/>
      <w:r w:rsidRPr="00564EEE">
        <w:t xml:space="preserve"> КЛ не применяются.</w:t>
      </w:r>
    </w:p>
    <w:p w:rsidR="00564EEE" w:rsidRPr="00564EEE" w:rsidRDefault="00564EEE">
      <w:pPr>
        <w:pStyle w:val="ConsPlusNormal"/>
        <w:jc w:val="right"/>
      </w:pPr>
    </w:p>
    <w:p w:rsidR="00564EEE" w:rsidRPr="00564EEE" w:rsidRDefault="00564EEE">
      <w:pPr>
        <w:pStyle w:val="ConsPlusNormal"/>
        <w:jc w:val="right"/>
      </w:pPr>
    </w:p>
    <w:p w:rsidR="00564EEE" w:rsidRPr="00564EEE" w:rsidRDefault="00564EEE">
      <w:pPr>
        <w:pStyle w:val="ConsPlusNormal"/>
        <w:jc w:val="right"/>
      </w:pPr>
    </w:p>
    <w:p w:rsidR="00564EEE" w:rsidRPr="00564EEE" w:rsidRDefault="00564EEE">
      <w:pPr>
        <w:pStyle w:val="ConsPlusNormal"/>
        <w:jc w:val="right"/>
      </w:pPr>
    </w:p>
    <w:p w:rsidR="00564EEE" w:rsidRPr="00564EEE" w:rsidRDefault="00564EEE">
      <w:pPr>
        <w:pStyle w:val="ConsPlusNormal"/>
        <w:jc w:val="right"/>
      </w:pPr>
    </w:p>
    <w:p w:rsidR="00564EEE" w:rsidRPr="00564EEE" w:rsidRDefault="00564EEE">
      <w:pPr>
        <w:pStyle w:val="ConsPlusNormal"/>
        <w:jc w:val="right"/>
      </w:pPr>
      <w:r w:rsidRPr="00564EEE">
        <w:t>Приложение 2</w:t>
      </w:r>
    </w:p>
    <w:p w:rsidR="00564EEE" w:rsidRPr="00564EEE" w:rsidRDefault="00564EEE">
      <w:pPr>
        <w:pStyle w:val="ConsPlusNormal"/>
        <w:jc w:val="right"/>
      </w:pPr>
      <w:r w:rsidRPr="00564EEE">
        <w:t>к Методическим рекомендациям</w:t>
      </w:r>
    </w:p>
    <w:p w:rsidR="00564EEE" w:rsidRPr="00564EEE" w:rsidRDefault="00564EEE">
      <w:pPr>
        <w:pStyle w:val="ConsPlusNormal"/>
        <w:jc w:val="right"/>
      </w:pPr>
      <w:r w:rsidRPr="00564EEE">
        <w:t>по определению предварительных параметров</w:t>
      </w:r>
    </w:p>
    <w:p w:rsidR="00564EEE" w:rsidRPr="00564EEE" w:rsidRDefault="00564EEE">
      <w:pPr>
        <w:pStyle w:val="ConsPlusNormal"/>
        <w:jc w:val="right"/>
      </w:pPr>
      <w:r w:rsidRPr="00564EEE">
        <w:t xml:space="preserve">выдачи мощности </w:t>
      </w:r>
      <w:proofErr w:type="gramStart"/>
      <w:r w:rsidRPr="00564EEE">
        <w:t>строящихся</w:t>
      </w:r>
      <w:proofErr w:type="gramEnd"/>
    </w:p>
    <w:p w:rsidR="00564EEE" w:rsidRPr="00564EEE" w:rsidRDefault="00564EEE">
      <w:pPr>
        <w:pStyle w:val="ConsPlusNormal"/>
        <w:jc w:val="right"/>
      </w:pPr>
      <w:r w:rsidRPr="00564EEE">
        <w:t>(реконструируемых) генерирующих объектов</w:t>
      </w:r>
    </w:p>
    <w:p w:rsidR="00564EEE" w:rsidRPr="00564EEE" w:rsidRDefault="00564EEE">
      <w:pPr>
        <w:pStyle w:val="ConsPlusNormal"/>
        <w:jc w:val="right"/>
      </w:pPr>
      <w:r w:rsidRPr="00564EEE">
        <w:t>в условиях нормальных режимов</w:t>
      </w:r>
    </w:p>
    <w:p w:rsidR="00564EEE" w:rsidRPr="00564EEE" w:rsidRDefault="00564EEE">
      <w:pPr>
        <w:pStyle w:val="ConsPlusNormal"/>
        <w:jc w:val="right"/>
      </w:pPr>
      <w:r w:rsidRPr="00564EEE">
        <w:t xml:space="preserve">функционирования энергосистемы, </w:t>
      </w:r>
      <w:proofErr w:type="gramStart"/>
      <w:r w:rsidRPr="00564EEE">
        <w:t>учитываемых</w:t>
      </w:r>
      <w:proofErr w:type="gramEnd"/>
    </w:p>
    <w:p w:rsidR="00564EEE" w:rsidRPr="00564EEE" w:rsidRDefault="00564EEE">
      <w:pPr>
        <w:pStyle w:val="ConsPlusNormal"/>
        <w:jc w:val="right"/>
      </w:pPr>
      <w:r w:rsidRPr="00564EEE">
        <w:t xml:space="preserve">при определении платы за </w:t>
      </w:r>
      <w:proofErr w:type="gramStart"/>
      <w:r w:rsidRPr="00564EEE">
        <w:t>технологическое</w:t>
      </w:r>
      <w:proofErr w:type="gramEnd"/>
    </w:p>
    <w:p w:rsidR="00564EEE" w:rsidRPr="00564EEE" w:rsidRDefault="00564EEE">
      <w:pPr>
        <w:pStyle w:val="ConsPlusNormal"/>
        <w:jc w:val="right"/>
      </w:pPr>
      <w:r w:rsidRPr="00564EEE">
        <w:t>присоединение таких генерирующих объектов</w:t>
      </w:r>
    </w:p>
    <w:p w:rsidR="00564EEE" w:rsidRPr="00564EEE" w:rsidRDefault="00564EEE">
      <w:pPr>
        <w:pStyle w:val="ConsPlusNormal"/>
        <w:jc w:val="right"/>
      </w:pPr>
      <w:r w:rsidRPr="00564EEE">
        <w:t>к объектам электросетевого хозяйства</w:t>
      </w:r>
    </w:p>
    <w:p w:rsidR="00564EEE" w:rsidRPr="00564EEE" w:rsidRDefault="00564EEE">
      <w:pPr>
        <w:pStyle w:val="ConsPlusNormal"/>
        <w:jc w:val="center"/>
      </w:pPr>
    </w:p>
    <w:p w:rsidR="00564EEE" w:rsidRPr="00564EEE" w:rsidRDefault="00564EEE">
      <w:pPr>
        <w:pStyle w:val="ConsPlusNormal"/>
        <w:jc w:val="center"/>
      </w:pPr>
      <w:bookmarkStart w:id="21" w:name="P205"/>
      <w:bookmarkEnd w:id="21"/>
      <w:r w:rsidRPr="00564EEE">
        <w:t>ПОСЛЕДОВАТЕЛЬНОСТЬ ДЕЙСТВИЙ</w:t>
      </w:r>
    </w:p>
    <w:p w:rsidR="00564EEE" w:rsidRPr="00564EEE" w:rsidRDefault="00564EEE">
      <w:pPr>
        <w:pStyle w:val="ConsPlusNormal"/>
        <w:jc w:val="center"/>
      </w:pPr>
      <w:r w:rsidRPr="00564EEE">
        <w:lastRenderedPageBreak/>
        <w:t>ПРИ ОПРЕДЕЛЕНИИ ПРЕДВАРИТЕЛЬНЫХ ПАРАМЕТРОВ ВЫДАЧИ МОЩНОСТИ</w:t>
      </w:r>
    </w:p>
    <w:p w:rsidR="00564EEE" w:rsidRPr="00564EEE" w:rsidRDefault="00564EEE">
      <w:pPr>
        <w:pStyle w:val="ConsPlusNormal"/>
        <w:jc w:val="center"/>
      </w:pPr>
      <w:r w:rsidRPr="00564EEE">
        <w:t>СТРОЯЩИХСЯ ГЕНЕРИРУЮЩИХ ОБЪЕКТОВ</w:t>
      </w:r>
    </w:p>
    <w:p w:rsidR="00564EEE" w:rsidRPr="00564EEE" w:rsidRDefault="00564EEE">
      <w:pPr>
        <w:pStyle w:val="ConsPlusNormal"/>
        <w:jc w:val="center"/>
      </w:pPr>
    </w:p>
    <w:p w:rsidR="00564EEE" w:rsidRPr="00564EEE" w:rsidRDefault="00564EEE">
      <w:pPr>
        <w:pStyle w:val="ConsPlusNormal"/>
        <w:ind w:firstLine="540"/>
        <w:jc w:val="both"/>
      </w:pPr>
      <w:r w:rsidRPr="00564EEE">
        <w:t>1. Определение предварительных параметров выдачи мощности электростанции со строительством одного РУ.</w:t>
      </w:r>
    </w:p>
    <w:p w:rsidR="00564EEE" w:rsidRPr="00564EEE" w:rsidRDefault="00564EEE">
      <w:pPr>
        <w:pStyle w:val="ConsPlusNormal"/>
        <w:ind w:firstLine="540"/>
        <w:jc w:val="both"/>
      </w:pPr>
      <w:bookmarkStart w:id="22" w:name="P210"/>
      <w:bookmarkEnd w:id="22"/>
      <w:r w:rsidRPr="00564EEE">
        <w:t xml:space="preserve">1.1. Определение состава ЛЭП, </w:t>
      </w:r>
      <w:proofErr w:type="gramStart"/>
      <w:r w:rsidRPr="00564EEE">
        <w:t>отходящих</w:t>
      </w:r>
      <w:proofErr w:type="gramEnd"/>
      <w:r w:rsidRPr="00564EEE">
        <w:t xml:space="preserve"> от электростанции.</w:t>
      </w:r>
    </w:p>
    <w:p w:rsidR="00564EEE" w:rsidRPr="00564EEE" w:rsidRDefault="00564EEE">
      <w:pPr>
        <w:pStyle w:val="ConsPlusNormal"/>
        <w:ind w:firstLine="540"/>
        <w:jc w:val="both"/>
      </w:pPr>
      <w:r w:rsidRPr="00564EEE">
        <w:t>1.1.1. Используя исходную информацию, определить сумму номинальных мощностей всех генераторов электростанции, планируемых к установке.</w:t>
      </w:r>
    </w:p>
    <w:p w:rsidR="00564EEE" w:rsidRPr="00564EEE" w:rsidRDefault="00564EEE">
      <w:pPr>
        <w:pStyle w:val="ConsPlusNormal"/>
        <w:ind w:firstLine="540"/>
        <w:jc w:val="both"/>
      </w:pPr>
      <w:r w:rsidRPr="00564EEE">
        <w:t>1.1.2. Используя значения, определенные приложениями 1 и 4 к Методическим рекомендациям, найти необходимое количество ЛЭП одного класса напряжения исходя из условия достаточности пропускной способности ЛЭП.</w:t>
      </w:r>
    </w:p>
    <w:p w:rsidR="00564EEE" w:rsidRPr="00564EEE" w:rsidRDefault="00564EEE">
      <w:pPr>
        <w:pStyle w:val="ConsPlusNormal"/>
        <w:ind w:firstLine="540"/>
        <w:jc w:val="both"/>
      </w:pPr>
      <w:r w:rsidRPr="00564EEE">
        <w:t>1.1.3. Выбрать узловую подстанцию (подстанции) класса напряжения, соответствующего совокупной мощности генераторов строящейся электростанции.</w:t>
      </w:r>
    </w:p>
    <w:p w:rsidR="00564EEE" w:rsidRPr="00564EEE" w:rsidRDefault="00564EEE">
      <w:pPr>
        <w:pStyle w:val="ConsPlusNormal"/>
        <w:ind w:firstLine="540"/>
        <w:jc w:val="both"/>
      </w:pPr>
      <w:bookmarkStart w:id="23" w:name="P214"/>
      <w:bookmarkEnd w:id="23"/>
      <w:r w:rsidRPr="00564EEE">
        <w:t>1.2. Проверка допустимости применения найденного состава ЛЭП.</w:t>
      </w:r>
    </w:p>
    <w:p w:rsidR="00564EEE" w:rsidRPr="00564EEE" w:rsidRDefault="00564EEE">
      <w:pPr>
        <w:pStyle w:val="ConsPlusNormal"/>
        <w:ind w:firstLine="540"/>
        <w:jc w:val="both"/>
      </w:pPr>
      <w:bookmarkStart w:id="24" w:name="P215"/>
      <w:bookmarkEnd w:id="24"/>
      <w:r w:rsidRPr="00564EEE">
        <w:t>1.2.1. Проверить соответствие найденного состава ЛЭП следующим условиям:</w:t>
      </w:r>
    </w:p>
    <w:p w:rsidR="00564EEE" w:rsidRPr="00564EEE" w:rsidRDefault="00564EEE">
      <w:pPr>
        <w:pStyle w:val="ConsPlusNormal"/>
        <w:ind w:firstLine="540"/>
        <w:jc w:val="both"/>
      </w:pPr>
      <w:r w:rsidRPr="00564EEE">
        <w:t>соответствие шкале номинальных напряжений, принятых в ЕЭС России и технологически изолированных территориальных электроэнергетических системах (далее - шкала номинальных напряжений);</w:t>
      </w:r>
    </w:p>
    <w:p w:rsidR="00564EEE" w:rsidRPr="00564EEE" w:rsidRDefault="00564EEE">
      <w:pPr>
        <w:pStyle w:val="ConsPlusNormal"/>
        <w:ind w:firstLine="540"/>
        <w:jc w:val="both"/>
      </w:pPr>
      <w:r w:rsidRPr="00564EEE">
        <w:t>соответствие мощности присоединяемых генераторов выбранному классу напряжения РУ;</w:t>
      </w:r>
    </w:p>
    <w:p w:rsidR="00564EEE" w:rsidRPr="00564EEE" w:rsidRDefault="00564EEE">
      <w:pPr>
        <w:pStyle w:val="ConsPlusNormal"/>
        <w:ind w:firstLine="540"/>
        <w:jc w:val="both"/>
      </w:pPr>
      <w:r w:rsidRPr="00564EEE">
        <w:t xml:space="preserve">соответствие ограничению по количеству ЛЭП, </w:t>
      </w:r>
      <w:proofErr w:type="gramStart"/>
      <w:r w:rsidRPr="00564EEE">
        <w:t>соединяющих</w:t>
      </w:r>
      <w:proofErr w:type="gramEnd"/>
      <w:r w:rsidRPr="00564EEE">
        <w:t xml:space="preserve"> РУ электростанции с одной узловой подстанцией;</w:t>
      </w:r>
    </w:p>
    <w:p w:rsidR="00564EEE" w:rsidRPr="00564EEE" w:rsidRDefault="00564EEE">
      <w:pPr>
        <w:pStyle w:val="ConsPlusNormal"/>
        <w:ind w:firstLine="540"/>
        <w:jc w:val="both"/>
      </w:pPr>
      <w:r w:rsidRPr="00564EEE">
        <w:t>соответствие предельным значениям длины ЛЭП.</w:t>
      </w:r>
    </w:p>
    <w:p w:rsidR="00564EEE" w:rsidRPr="00564EEE" w:rsidRDefault="00564EEE">
      <w:pPr>
        <w:pStyle w:val="ConsPlusNormal"/>
        <w:ind w:firstLine="540"/>
        <w:jc w:val="both"/>
      </w:pPr>
      <w:r w:rsidRPr="00564EEE">
        <w:t>1.2.2. При соответствии найденного набора ЛЭП условиям, определенным пунктом 1.2.1 настоящего приложения и разделами II и III Методических рекомендаций, полученный вариант предварительных параметров выдачи мощности электростанции принимается к дальнейшему рассмотрению.</w:t>
      </w:r>
    </w:p>
    <w:p w:rsidR="00564EEE" w:rsidRPr="00564EEE" w:rsidRDefault="00564EEE">
      <w:pPr>
        <w:pStyle w:val="ConsPlusNormal"/>
        <w:ind w:firstLine="540"/>
        <w:jc w:val="both"/>
      </w:pPr>
      <w:r w:rsidRPr="00564EEE">
        <w:t>В противном случае осуществляется выбор иной узловой подстанции (подстанций) и повтор процедуры определения предварительных параметров в соответствии с пунктами 1.1 - 1.2 настоящего приложения.</w:t>
      </w:r>
    </w:p>
    <w:p w:rsidR="00564EEE" w:rsidRPr="00564EEE" w:rsidRDefault="00564EEE">
      <w:pPr>
        <w:pStyle w:val="ConsPlusNormal"/>
        <w:ind w:firstLine="540"/>
        <w:jc w:val="both"/>
      </w:pPr>
      <w:r w:rsidRPr="00564EEE">
        <w:t xml:space="preserve">1.3. Возможно определение нескольких </w:t>
      </w:r>
      <w:proofErr w:type="gramStart"/>
      <w:r w:rsidRPr="00564EEE">
        <w:t>вариантов предварительных параметров выдачи мощности электростанции</w:t>
      </w:r>
      <w:proofErr w:type="gramEnd"/>
      <w:r w:rsidRPr="00564EEE">
        <w:t xml:space="preserve"> со строительством одного РУ путем выбора иных узловых подстанций и соответствующего им состава ЛЭП иных классов напряжения в соответствии с пунктами 1.1 - 1.2 настоящего приложения.</w:t>
      </w:r>
    </w:p>
    <w:p w:rsidR="00564EEE" w:rsidRPr="00564EEE" w:rsidRDefault="00564EEE">
      <w:pPr>
        <w:pStyle w:val="ConsPlusNormal"/>
        <w:ind w:firstLine="540"/>
        <w:jc w:val="both"/>
      </w:pPr>
      <w:r w:rsidRPr="00564EEE">
        <w:t>В этом случае выбор варианта предварительных параметров, используемого для расчета платы за технологическое присоединение генерирующего объекта к объектам электросетевого хозяйства, из нескольких допустимых вариантов осуществляется по согласованию между заявителем и сетевой организацией.</w:t>
      </w:r>
    </w:p>
    <w:p w:rsidR="00564EEE" w:rsidRPr="00564EEE" w:rsidRDefault="00564EEE">
      <w:pPr>
        <w:pStyle w:val="ConsPlusNormal"/>
        <w:ind w:firstLine="540"/>
        <w:jc w:val="both"/>
      </w:pPr>
      <w:bookmarkStart w:id="25" w:name="P224"/>
      <w:bookmarkEnd w:id="25"/>
      <w:r w:rsidRPr="00564EEE">
        <w:t>2. Определение предварительных параметров выдачи мощности электростанции со строительством двух РУ.</w:t>
      </w:r>
    </w:p>
    <w:p w:rsidR="00564EEE" w:rsidRPr="00564EEE" w:rsidRDefault="00564EEE">
      <w:pPr>
        <w:pStyle w:val="ConsPlusNormal"/>
        <w:ind w:firstLine="540"/>
        <w:jc w:val="both"/>
      </w:pPr>
      <w:bookmarkStart w:id="26" w:name="P225"/>
      <w:bookmarkEnd w:id="26"/>
      <w:r w:rsidRPr="00564EEE">
        <w:t xml:space="preserve">2.1. Определение состава ЛЭП, </w:t>
      </w:r>
      <w:proofErr w:type="gramStart"/>
      <w:r w:rsidRPr="00564EEE">
        <w:t>отходящих</w:t>
      </w:r>
      <w:proofErr w:type="gramEnd"/>
      <w:r w:rsidRPr="00564EEE">
        <w:t xml:space="preserve"> от электростанции.</w:t>
      </w:r>
    </w:p>
    <w:p w:rsidR="00564EEE" w:rsidRPr="00564EEE" w:rsidRDefault="00564EEE">
      <w:pPr>
        <w:pStyle w:val="ConsPlusNormal"/>
        <w:ind w:firstLine="540"/>
        <w:jc w:val="both"/>
      </w:pPr>
      <w:r w:rsidRPr="00564EEE">
        <w:t>2.1.1. Используя исходную информацию, определить сумму номинальных мощностей всех генераторов электростанции, планируемых к установке.</w:t>
      </w:r>
    </w:p>
    <w:p w:rsidR="00564EEE" w:rsidRPr="00564EEE" w:rsidRDefault="00564EEE">
      <w:pPr>
        <w:pStyle w:val="ConsPlusNormal"/>
        <w:ind w:firstLine="540"/>
        <w:jc w:val="both"/>
      </w:pPr>
      <w:r w:rsidRPr="00564EEE">
        <w:t>2.1.2. Используя значения, определенные приложениями 1 и 4 к Методическим рекомендациям по сумме номинальных мощностей генераторов электростанции, найти необходимое количество ЛЭП двух классов напряжения исходя из условия достаточности пропускной способности ЛЭП электростанции.</w:t>
      </w:r>
    </w:p>
    <w:p w:rsidR="00564EEE" w:rsidRPr="00564EEE" w:rsidRDefault="00564EEE">
      <w:pPr>
        <w:pStyle w:val="ConsPlusNormal"/>
        <w:ind w:firstLine="540"/>
        <w:jc w:val="both"/>
      </w:pPr>
      <w:r w:rsidRPr="00564EEE">
        <w:t xml:space="preserve">2.1.3. Выбрать узловые подстанции двух классов напряжения, соответствующих совокупной мощности генераторов, планируемой к выдаче через </w:t>
      </w:r>
      <w:proofErr w:type="gramStart"/>
      <w:r w:rsidRPr="00564EEE">
        <w:t>соответствующее</w:t>
      </w:r>
      <w:proofErr w:type="gramEnd"/>
      <w:r w:rsidRPr="00564EEE">
        <w:t xml:space="preserve"> РУ.</w:t>
      </w:r>
    </w:p>
    <w:p w:rsidR="00564EEE" w:rsidRPr="00564EEE" w:rsidRDefault="00564EEE">
      <w:pPr>
        <w:pStyle w:val="ConsPlusNormal"/>
        <w:ind w:firstLine="540"/>
        <w:jc w:val="both"/>
      </w:pPr>
      <w:r w:rsidRPr="00564EEE">
        <w:t>2.2. Проверка допустимости применения найденного состава ЛЭП.</w:t>
      </w:r>
    </w:p>
    <w:p w:rsidR="00564EEE" w:rsidRPr="00564EEE" w:rsidRDefault="00564EEE">
      <w:pPr>
        <w:pStyle w:val="ConsPlusNormal"/>
        <w:ind w:firstLine="540"/>
        <w:jc w:val="both"/>
      </w:pPr>
      <w:r w:rsidRPr="00564EEE">
        <w:t>2.2.1. Проверить соответствие найденного состава ЛЭП следующим условиям:</w:t>
      </w:r>
    </w:p>
    <w:p w:rsidR="00564EEE" w:rsidRPr="00564EEE" w:rsidRDefault="00564EEE">
      <w:pPr>
        <w:pStyle w:val="ConsPlusNormal"/>
        <w:ind w:firstLine="540"/>
        <w:jc w:val="both"/>
      </w:pPr>
      <w:r w:rsidRPr="00564EEE">
        <w:t>соответствие шкале номинальных напряжений;</w:t>
      </w:r>
    </w:p>
    <w:p w:rsidR="00564EEE" w:rsidRPr="00564EEE" w:rsidRDefault="00564EEE">
      <w:pPr>
        <w:pStyle w:val="ConsPlusNormal"/>
        <w:ind w:firstLine="540"/>
        <w:jc w:val="both"/>
      </w:pPr>
      <w:r w:rsidRPr="00564EEE">
        <w:t>соответствие мощности присоединяемых генераторов выбранному классу напряжения РУ;</w:t>
      </w:r>
    </w:p>
    <w:p w:rsidR="00564EEE" w:rsidRPr="00564EEE" w:rsidRDefault="00564EEE">
      <w:pPr>
        <w:pStyle w:val="ConsPlusNormal"/>
        <w:ind w:firstLine="540"/>
        <w:jc w:val="both"/>
      </w:pPr>
      <w:r w:rsidRPr="00564EEE">
        <w:t xml:space="preserve">соответствие ограничению по количеству ЛЭП, </w:t>
      </w:r>
      <w:proofErr w:type="gramStart"/>
      <w:r w:rsidRPr="00564EEE">
        <w:t>соединяющих</w:t>
      </w:r>
      <w:proofErr w:type="gramEnd"/>
      <w:r w:rsidRPr="00564EEE">
        <w:t xml:space="preserve"> РУ электростанции с одной узловой подстанцией;</w:t>
      </w:r>
    </w:p>
    <w:p w:rsidR="00564EEE" w:rsidRPr="00564EEE" w:rsidRDefault="00564EEE">
      <w:pPr>
        <w:pStyle w:val="ConsPlusNormal"/>
        <w:ind w:firstLine="540"/>
        <w:jc w:val="both"/>
      </w:pPr>
      <w:r w:rsidRPr="00564EEE">
        <w:lastRenderedPageBreak/>
        <w:t>соответствие предельным значениям длины ЛЭП.</w:t>
      </w:r>
    </w:p>
    <w:p w:rsidR="00564EEE" w:rsidRPr="00564EEE" w:rsidRDefault="00564EEE">
      <w:pPr>
        <w:pStyle w:val="ConsPlusNormal"/>
        <w:ind w:firstLine="540"/>
        <w:jc w:val="both"/>
      </w:pPr>
      <w:r w:rsidRPr="00564EEE">
        <w:t>2.3. Выбор и проверка достаточности трансформаторов РУ.</w:t>
      </w:r>
    </w:p>
    <w:p w:rsidR="00564EEE" w:rsidRPr="00564EEE" w:rsidRDefault="00564EEE">
      <w:pPr>
        <w:pStyle w:val="ConsPlusNormal"/>
        <w:ind w:firstLine="540"/>
        <w:jc w:val="both"/>
      </w:pPr>
      <w:r w:rsidRPr="00564EEE">
        <w:t>2.3.1. С учетом условий, определенных пунктом 10 Методических рекомендаций, выбрать вариант распределения генераторов электростанции между РУ, а также определить количество и мощность трансформаторов (автотрансформаторов) связи по условию достаточности трансформаторов РУ.</w:t>
      </w:r>
    </w:p>
    <w:p w:rsidR="00564EEE" w:rsidRPr="00564EEE" w:rsidRDefault="00564EEE">
      <w:pPr>
        <w:pStyle w:val="ConsPlusNormal"/>
        <w:ind w:firstLine="540"/>
        <w:jc w:val="both"/>
      </w:pPr>
      <w:bookmarkStart w:id="27" w:name="P237"/>
      <w:bookmarkEnd w:id="27"/>
      <w:r w:rsidRPr="00564EEE">
        <w:t>2.4. Проверка достаточности предварительной пропускной способности РУ электростанции.</w:t>
      </w:r>
    </w:p>
    <w:p w:rsidR="00564EEE" w:rsidRPr="00564EEE" w:rsidRDefault="00564EEE">
      <w:pPr>
        <w:pStyle w:val="ConsPlusNormal"/>
        <w:ind w:firstLine="540"/>
        <w:jc w:val="both"/>
      </w:pPr>
      <w:r w:rsidRPr="00564EEE">
        <w:t>2.4.1. Проверить выбранный вариант распределения генераторов электростанции между РУ на соответствие условию достаточности предварительной пропускной способности РУ электростанции.</w:t>
      </w:r>
    </w:p>
    <w:p w:rsidR="00564EEE" w:rsidRPr="00564EEE" w:rsidRDefault="00564EEE">
      <w:pPr>
        <w:pStyle w:val="ConsPlusNormal"/>
        <w:ind w:firstLine="540"/>
        <w:jc w:val="both"/>
      </w:pPr>
      <w:r w:rsidRPr="00564EEE">
        <w:t>В этих целях для каждого РУ:</w:t>
      </w:r>
    </w:p>
    <w:p w:rsidR="00564EEE" w:rsidRPr="00564EEE" w:rsidRDefault="00564EEE">
      <w:pPr>
        <w:pStyle w:val="ConsPlusNormal"/>
        <w:ind w:firstLine="540"/>
        <w:jc w:val="both"/>
      </w:pPr>
      <w:r w:rsidRPr="00564EEE">
        <w:t>рассчитать предварительную пропускную способность РУ электростанции;</w:t>
      </w:r>
    </w:p>
    <w:p w:rsidR="00564EEE" w:rsidRPr="00564EEE" w:rsidRDefault="00564EEE">
      <w:pPr>
        <w:pStyle w:val="ConsPlusNormal"/>
        <w:ind w:firstLine="540"/>
        <w:jc w:val="both"/>
      </w:pPr>
      <w:r w:rsidRPr="00564EEE">
        <w:t xml:space="preserve">определить величину мощности генераторов электростанции, предполагаемых к подключению </w:t>
      </w:r>
      <w:proofErr w:type="gramStart"/>
      <w:r w:rsidRPr="00564EEE">
        <w:t>к</w:t>
      </w:r>
      <w:proofErr w:type="gramEnd"/>
      <w:r w:rsidRPr="00564EEE">
        <w:t xml:space="preserve"> данному РУ.</w:t>
      </w:r>
    </w:p>
    <w:p w:rsidR="00564EEE" w:rsidRPr="00564EEE" w:rsidRDefault="00564EEE">
      <w:pPr>
        <w:pStyle w:val="ConsPlusNormal"/>
        <w:ind w:firstLine="540"/>
        <w:jc w:val="both"/>
      </w:pPr>
      <w:r w:rsidRPr="00564EEE">
        <w:t>Выбранный вариант распределения генераторов электростанции между РУ является допустимым при выполнении условия достаточности предварительной пропускной способности РУ электростанции.</w:t>
      </w:r>
    </w:p>
    <w:p w:rsidR="00564EEE" w:rsidRPr="00564EEE" w:rsidRDefault="00564EEE">
      <w:pPr>
        <w:pStyle w:val="ConsPlusNormal"/>
        <w:ind w:firstLine="540"/>
        <w:jc w:val="both"/>
      </w:pPr>
      <w:r w:rsidRPr="00564EEE">
        <w:t>2.4.2. При соответствии найденного состава ЛЭП и трансформаторов (автотрансформаторов) связи указанным в разделах II - IV Методических рекомендаций условиям полученный вариант предварительных параметров выдачи мощности электростанции принимается к дальнейшему рассмотрению. В противном случае осуществляется выбор иной узловой подстанции (подстанций) и повтор процедуры в соответствии с пунктами 2.1 - 2.4 настоящего приложения.</w:t>
      </w:r>
    </w:p>
    <w:p w:rsidR="00564EEE" w:rsidRPr="00564EEE" w:rsidRDefault="00564EEE">
      <w:pPr>
        <w:pStyle w:val="ConsPlusNormal"/>
        <w:ind w:firstLine="540"/>
        <w:jc w:val="both"/>
      </w:pPr>
      <w:r w:rsidRPr="00564EEE">
        <w:t xml:space="preserve">2.5. Возможно определение нескольких </w:t>
      </w:r>
      <w:proofErr w:type="gramStart"/>
      <w:r w:rsidRPr="00564EEE">
        <w:t>вариантов предварительных параметров выдачи мощности электростанции</w:t>
      </w:r>
      <w:proofErr w:type="gramEnd"/>
      <w:r w:rsidRPr="00564EEE">
        <w:t xml:space="preserve"> со строительством двух РУ путем выбора иных узловых подстанций и соответствующего им состава ЛЭП иных классов напряжения в соответствии с пунктами 2.1 - 2.4 настоящего приложения.</w:t>
      </w:r>
    </w:p>
    <w:p w:rsidR="00564EEE" w:rsidRPr="00564EEE" w:rsidRDefault="00564EEE">
      <w:pPr>
        <w:pStyle w:val="ConsPlusNormal"/>
        <w:ind w:firstLine="540"/>
        <w:jc w:val="both"/>
      </w:pPr>
      <w:r w:rsidRPr="00564EEE">
        <w:t>В этом случае выбор варианта предварительных параметров, используемого для расчета платы за технологическое присоединение генерирующего объекта к объектам электросетевого хозяйства, из нескольких допустимых вариантов осуществляется по согласованию между заявителем и сетевой организацией.</w:t>
      </w:r>
    </w:p>
    <w:p w:rsidR="00564EEE" w:rsidRPr="00564EEE" w:rsidRDefault="00564EEE">
      <w:pPr>
        <w:pStyle w:val="ConsPlusNormal"/>
        <w:ind w:firstLine="540"/>
        <w:jc w:val="both"/>
      </w:pPr>
      <w:r w:rsidRPr="00564EEE">
        <w:t>3. Определение предварительных параметров выдачи мощности электростанции со строительством трех и более РУ.</w:t>
      </w:r>
    </w:p>
    <w:p w:rsidR="00564EEE" w:rsidRPr="00564EEE" w:rsidRDefault="00564EEE">
      <w:pPr>
        <w:pStyle w:val="ConsPlusNormal"/>
        <w:ind w:firstLine="540"/>
        <w:jc w:val="both"/>
      </w:pPr>
      <w:r w:rsidRPr="00564EEE">
        <w:t xml:space="preserve">3.1. Определение вариантов предварительных параметров проводится путем поиска состава ЛЭП и вариантов распределения генераторов между РУ электростанции в порядке, аналогичном </w:t>
      </w:r>
      <w:proofErr w:type="gramStart"/>
      <w:r w:rsidRPr="00564EEE">
        <w:t>указанному</w:t>
      </w:r>
      <w:proofErr w:type="gramEnd"/>
      <w:r w:rsidRPr="00564EEE">
        <w:t xml:space="preserve"> в пункте 2 настоящего приложения.</w:t>
      </w:r>
    </w:p>
    <w:p w:rsidR="00564EEE" w:rsidRPr="00564EEE" w:rsidRDefault="00564EEE">
      <w:pPr>
        <w:pStyle w:val="ConsPlusNormal"/>
        <w:jc w:val="right"/>
      </w:pPr>
    </w:p>
    <w:p w:rsidR="00564EEE" w:rsidRPr="00564EEE" w:rsidRDefault="00564EEE">
      <w:pPr>
        <w:pStyle w:val="ConsPlusNormal"/>
        <w:jc w:val="right"/>
      </w:pPr>
    </w:p>
    <w:p w:rsidR="00564EEE" w:rsidRPr="00564EEE" w:rsidRDefault="00564EEE">
      <w:pPr>
        <w:pStyle w:val="ConsPlusNormal"/>
        <w:jc w:val="right"/>
      </w:pPr>
    </w:p>
    <w:p w:rsidR="00564EEE" w:rsidRPr="00564EEE" w:rsidRDefault="00564EEE">
      <w:pPr>
        <w:pStyle w:val="ConsPlusNormal"/>
        <w:jc w:val="right"/>
      </w:pPr>
    </w:p>
    <w:p w:rsidR="00564EEE" w:rsidRPr="00564EEE" w:rsidRDefault="00564EEE">
      <w:pPr>
        <w:pStyle w:val="ConsPlusNormal"/>
        <w:jc w:val="right"/>
      </w:pPr>
    </w:p>
    <w:p w:rsidR="00564EEE" w:rsidRPr="00564EEE" w:rsidRDefault="00564EEE">
      <w:pPr>
        <w:pStyle w:val="ConsPlusNormal"/>
        <w:jc w:val="right"/>
      </w:pPr>
      <w:r w:rsidRPr="00564EEE">
        <w:t>Приложение 3</w:t>
      </w:r>
    </w:p>
    <w:p w:rsidR="00564EEE" w:rsidRPr="00564EEE" w:rsidRDefault="00564EEE">
      <w:pPr>
        <w:pStyle w:val="ConsPlusNormal"/>
        <w:jc w:val="right"/>
      </w:pPr>
      <w:r w:rsidRPr="00564EEE">
        <w:t>к Методическим рекомендациям</w:t>
      </w:r>
    </w:p>
    <w:p w:rsidR="00564EEE" w:rsidRPr="00564EEE" w:rsidRDefault="00564EEE">
      <w:pPr>
        <w:pStyle w:val="ConsPlusNormal"/>
        <w:jc w:val="right"/>
      </w:pPr>
      <w:r w:rsidRPr="00564EEE">
        <w:t>по определению предварительных параметров</w:t>
      </w:r>
    </w:p>
    <w:p w:rsidR="00564EEE" w:rsidRPr="00564EEE" w:rsidRDefault="00564EEE">
      <w:pPr>
        <w:pStyle w:val="ConsPlusNormal"/>
        <w:jc w:val="right"/>
      </w:pPr>
      <w:r w:rsidRPr="00564EEE">
        <w:t xml:space="preserve">выдачи мощности </w:t>
      </w:r>
      <w:proofErr w:type="gramStart"/>
      <w:r w:rsidRPr="00564EEE">
        <w:t>строящихся</w:t>
      </w:r>
      <w:proofErr w:type="gramEnd"/>
    </w:p>
    <w:p w:rsidR="00564EEE" w:rsidRPr="00564EEE" w:rsidRDefault="00564EEE">
      <w:pPr>
        <w:pStyle w:val="ConsPlusNormal"/>
        <w:jc w:val="right"/>
      </w:pPr>
      <w:r w:rsidRPr="00564EEE">
        <w:t>(реконструируемых) генерирующих объектов</w:t>
      </w:r>
    </w:p>
    <w:p w:rsidR="00564EEE" w:rsidRPr="00564EEE" w:rsidRDefault="00564EEE">
      <w:pPr>
        <w:pStyle w:val="ConsPlusNormal"/>
        <w:jc w:val="right"/>
      </w:pPr>
      <w:r w:rsidRPr="00564EEE">
        <w:t>в условиях нормальных режимов</w:t>
      </w:r>
    </w:p>
    <w:p w:rsidR="00564EEE" w:rsidRPr="00564EEE" w:rsidRDefault="00564EEE">
      <w:pPr>
        <w:pStyle w:val="ConsPlusNormal"/>
        <w:jc w:val="right"/>
      </w:pPr>
      <w:r w:rsidRPr="00564EEE">
        <w:t xml:space="preserve">функционирования энергосистемы, </w:t>
      </w:r>
      <w:proofErr w:type="gramStart"/>
      <w:r w:rsidRPr="00564EEE">
        <w:t>учитываемых</w:t>
      </w:r>
      <w:proofErr w:type="gramEnd"/>
    </w:p>
    <w:p w:rsidR="00564EEE" w:rsidRPr="00564EEE" w:rsidRDefault="00564EEE">
      <w:pPr>
        <w:pStyle w:val="ConsPlusNormal"/>
        <w:jc w:val="right"/>
      </w:pPr>
      <w:r w:rsidRPr="00564EEE">
        <w:t xml:space="preserve">при определении платы за </w:t>
      </w:r>
      <w:proofErr w:type="gramStart"/>
      <w:r w:rsidRPr="00564EEE">
        <w:t>технологическое</w:t>
      </w:r>
      <w:proofErr w:type="gramEnd"/>
    </w:p>
    <w:p w:rsidR="00564EEE" w:rsidRPr="00564EEE" w:rsidRDefault="00564EEE">
      <w:pPr>
        <w:pStyle w:val="ConsPlusNormal"/>
        <w:jc w:val="right"/>
      </w:pPr>
      <w:r w:rsidRPr="00564EEE">
        <w:t>присоединение таких генерирующих объектов</w:t>
      </w:r>
    </w:p>
    <w:p w:rsidR="00564EEE" w:rsidRPr="00564EEE" w:rsidRDefault="00564EEE">
      <w:pPr>
        <w:pStyle w:val="ConsPlusNormal"/>
        <w:jc w:val="right"/>
      </w:pPr>
      <w:r w:rsidRPr="00564EEE">
        <w:t>к объектам электросетевого хозяйства</w:t>
      </w:r>
    </w:p>
    <w:p w:rsidR="00564EEE" w:rsidRPr="00564EEE" w:rsidRDefault="00564EEE">
      <w:pPr>
        <w:pStyle w:val="ConsPlusNormal"/>
        <w:jc w:val="center"/>
      </w:pPr>
    </w:p>
    <w:p w:rsidR="00564EEE" w:rsidRPr="00564EEE" w:rsidRDefault="00564EEE">
      <w:pPr>
        <w:pStyle w:val="ConsPlusNormal"/>
        <w:jc w:val="center"/>
      </w:pPr>
      <w:bookmarkStart w:id="28" w:name="P264"/>
      <w:bookmarkEnd w:id="28"/>
      <w:r w:rsidRPr="00564EEE">
        <w:t>ПОСЛЕДОВАТЕЛЬНОСТЬ ДЕЙСТВИЙ</w:t>
      </w:r>
    </w:p>
    <w:p w:rsidR="00564EEE" w:rsidRPr="00564EEE" w:rsidRDefault="00564EEE">
      <w:pPr>
        <w:pStyle w:val="ConsPlusNormal"/>
        <w:jc w:val="center"/>
      </w:pPr>
      <w:r w:rsidRPr="00564EEE">
        <w:t>ПРИ ОПРЕДЕЛЕНИИ ПРЕДВАРИТЕЛЬНЫХ ПАРАМЕТРОВ ВЫДАЧИ МОЩНОСТИ</w:t>
      </w:r>
    </w:p>
    <w:p w:rsidR="00564EEE" w:rsidRPr="00564EEE" w:rsidRDefault="00564EEE">
      <w:pPr>
        <w:pStyle w:val="ConsPlusNormal"/>
        <w:jc w:val="center"/>
      </w:pPr>
      <w:r w:rsidRPr="00564EEE">
        <w:t>РЕКОНСТРУИРУЕМЫХ ГЕНЕРИРУЮЩИХ ОБЪЕКТОВ</w:t>
      </w:r>
    </w:p>
    <w:p w:rsidR="00564EEE" w:rsidRPr="00564EEE" w:rsidRDefault="00564EEE">
      <w:pPr>
        <w:pStyle w:val="ConsPlusNormal"/>
        <w:jc w:val="center"/>
      </w:pPr>
    </w:p>
    <w:p w:rsidR="00564EEE" w:rsidRPr="00564EEE" w:rsidRDefault="00564EEE">
      <w:pPr>
        <w:pStyle w:val="ConsPlusNormal"/>
        <w:ind w:firstLine="540"/>
        <w:jc w:val="both"/>
      </w:pPr>
      <w:r w:rsidRPr="00564EEE">
        <w:t xml:space="preserve">1. Определение свободной пропускной </w:t>
      </w:r>
      <w:proofErr w:type="gramStart"/>
      <w:r w:rsidRPr="00564EEE">
        <w:t>способности существующей схемы выдачи мощности электростанции</w:t>
      </w:r>
      <w:proofErr w:type="gramEnd"/>
      <w:r w:rsidRPr="00564EEE">
        <w:t>.</w:t>
      </w:r>
    </w:p>
    <w:p w:rsidR="00564EEE" w:rsidRPr="00564EEE" w:rsidRDefault="00564EEE">
      <w:pPr>
        <w:pStyle w:val="ConsPlusNormal"/>
        <w:ind w:firstLine="540"/>
        <w:jc w:val="both"/>
      </w:pPr>
      <w:r w:rsidRPr="00564EEE">
        <w:t xml:space="preserve">1.1. Свободная пропускная способность существующей схемы выдачи мощности электростанции (величина неиспользуемой пропускной способности существующей схемы выдачи мощности электростанции) определяется как разница между величиной предварительной пропускной </w:t>
      </w:r>
      <w:proofErr w:type="gramStart"/>
      <w:r w:rsidRPr="00564EEE">
        <w:t>способности схемы выдачи мощности электростанции</w:t>
      </w:r>
      <w:proofErr w:type="gramEnd"/>
      <w:r w:rsidRPr="00564EEE">
        <w:t xml:space="preserve"> и величиной суммарной установленной мощности существующего генерирующего оборудования электростанции.</w:t>
      </w:r>
    </w:p>
    <w:p w:rsidR="00564EEE" w:rsidRPr="00564EEE" w:rsidRDefault="00564EEE">
      <w:pPr>
        <w:pStyle w:val="ConsPlusNormal"/>
        <w:ind w:firstLine="540"/>
        <w:jc w:val="both"/>
      </w:pPr>
      <w:r w:rsidRPr="00564EEE">
        <w:t xml:space="preserve">2. Определение состава ЛЭП, </w:t>
      </w:r>
      <w:proofErr w:type="gramStart"/>
      <w:r w:rsidRPr="00564EEE">
        <w:t>отходящих</w:t>
      </w:r>
      <w:proofErr w:type="gramEnd"/>
      <w:r w:rsidRPr="00564EEE">
        <w:t xml:space="preserve"> от электростанции.</w:t>
      </w:r>
    </w:p>
    <w:p w:rsidR="00564EEE" w:rsidRPr="00564EEE" w:rsidRDefault="00564EEE">
      <w:pPr>
        <w:pStyle w:val="ConsPlusNormal"/>
        <w:ind w:firstLine="540"/>
        <w:jc w:val="both"/>
      </w:pPr>
      <w:r w:rsidRPr="00564EEE">
        <w:t xml:space="preserve">2.1. При наличии свободной пропускной </w:t>
      </w:r>
      <w:proofErr w:type="gramStart"/>
      <w:r w:rsidRPr="00564EEE">
        <w:t>способности существующей схемы выдачи мощности электростанции</w:t>
      </w:r>
      <w:proofErr w:type="gramEnd"/>
      <w:r w:rsidRPr="00564EEE">
        <w:t xml:space="preserve"> допустимость существующего состава ЛЭП электростанции определяется с учетом соблюдения условий достаточности трансформаторов РУ и достаточности пропускной способности РУ электростанции.</w:t>
      </w:r>
    </w:p>
    <w:p w:rsidR="00564EEE" w:rsidRPr="00564EEE" w:rsidRDefault="00564EEE">
      <w:pPr>
        <w:pStyle w:val="ConsPlusNormal"/>
        <w:ind w:firstLine="540"/>
        <w:jc w:val="both"/>
      </w:pPr>
      <w:r w:rsidRPr="00564EEE">
        <w:t xml:space="preserve">2.2. Если свободная пропускная способность существующей схемы выдачи мощности электростанции отсутствует либо меньше номинальной мощности планируемого к установке генерирующего оборудования, то технологическое присоединение реконструируемой электростанции к объектам электросетевого хозяйства без увеличения числа </w:t>
      </w:r>
      <w:proofErr w:type="gramStart"/>
      <w:r w:rsidRPr="00564EEE">
        <w:t>отходящих</w:t>
      </w:r>
      <w:proofErr w:type="gramEnd"/>
      <w:r w:rsidRPr="00564EEE">
        <w:t xml:space="preserve"> от электростанции ЛЭП не допускается.</w:t>
      </w:r>
    </w:p>
    <w:p w:rsidR="00564EEE" w:rsidRPr="00564EEE" w:rsidRDefault="00564EEE">
      <w:pPr>
        <w:pStyle w:val="ConsPlusNormal"/>
        <w:ind w:firstLine="540"/>
        <w:jc w:val="both"/>
      </w:pPr>
      <w:r w:rsidRPr="00564EEE">
        <w:t xml:space="preserve">В этом случае определение количества, класса напряжения и </w:t>
      </w:r>
      <w:proofErr w:type="gramStart"/>
      <w:r w:rsidRPr="00564EEE">
        <w:t>протяженности</w:t>
      </w:r>
      <w:proofErr w:type="gramEnd"/>
      <w:r w:rsidRPr="00564EEE">
        <w:t xml:space="preserve"> дополнительных ЛЭП, отходящих от реконструируемой электростанции, осуществляется в порядке, предусмотренном приложением 2 к Методическим рекомендациям.</w:t>
      </w:r>
    </w:p>
    <w:p w:rsidR="00564EEE" w:rsidRPr="00564EEE" w:rsidRDefault="00564EEE">
      <w:pPr>
        <w:pStyle w:val="ConsPlusNormal"/>
        <w:ind w:firstLine="540"/>
        <w:jc w:val="both"/>
      </w:pPr>
      <w:r w:rsidRPr="00564EEE">
        <w:t>3. Выбор и проверка достаточности трансформаторов РУ и достаточности пропускной способности РУ.</w:t>
      </w:r>
    </w:p>
    <w:p w:rsidR="00564EEE" w:rsidRPr="00564EEE" w:rsidRDefault="00564EEE">
      <w:pPr>
        <w:pStyle w:val="ConsPlusNormal"/>
        <w:ind w:firstLine="540"/>
        <w:jc w:val="both"/>
      </w:pPr>
      <w:r w:rsidRPr="00564EEE">
        <w:t>3.1. При наличии свободной пропускной способности существующей схемы выдачи мощности определение предварительных параметров РУ реконструируемой электростанции осуществляется в следующем порядке:</w:t>
      </w:r>
    </w:p>
    <w:p w:rsidR="00564EEE" w:rsidRPr="00564EEE" w:rsidRDefault="00564EEE">
      <w:pPr>
        <w:pStyle w:val="ConsPlusNormal"/>
        <w:ind w:firstLine="540"/>
        <w:jc w:val="both"/>
      </w:pPr>
      <w:r w:rsidRPr="00564EEE">
        <w:t xml:space="preserve">3.1.1. </w:t>
      </w:r>
      <w:proofErr w:type="gramStart"/>
      <w:r w:rsidRPr="00564EEE">
        <w:t>Определяется свободная пропускная способность существующих РУ электростанции для каждого РУ, которая равна разнице между величиной предварительной пропускной способности существующего РУ электростанции и величиной суммарной установленной мощности генерирующего оборудования электростанции, подключенного к данному РУ, при этом номинальная мощность генераторов, подключенных к обмотке низкого напряжения трансформатора (автотрансформатора) связи, относится на РУ более высокого класса напряжения.</w:t>
      </w:r>
      <w:proofErr w:type="gramEnd"/>
    </w:p>
    <w:p w:rsidR="00564EEE" w:rsidRPr="00564EEE" w:rsidRDefault="00564EEE">
      <w:pPr>
        <w:pStyle w:val="ConsPlusNormal"/>
        <w:ind w:firstLine="540"/>
        <w:jc w:val="both"/>
      </w:pPr>
      <w:r w:rsidRPr="00564EEE">
        <w:t>3.1.2. При наличии свободной пропускной способности существующих РУ электростанции допускается присоединение новог</w:t>
      </w:r>
      <w:proofErr w:type="gramStart"/>
      <w:r w:rsidRPr="00564EEE">
        <w:t>о(</w:t>
      </w:r>
      <w:proofErr w:type="spellStart"/>
      <w:proofErr w:type="gramEnd"/>
      <w:r w:rsidRPr="00564EEE">
        <w:t>ых</w:t>
      </w:r>
      <w:proofErr w:type="spellEnd"/>
      <w:r w:rsidRPr="00564EEE">
        <w:t>) генератора(</w:t>
      </w:r>
      <w:proofErr w:type="spellStart"/>
      <w:r w:rsidRPr="00564EEE">
        <w:t>ов</w:t>
      </w:r>
      <w:proofErr w:type="spellEnd"/>
      <w:r w:rsidRPr="00564EEE">
        <w:t>) к этому РУ в пределах ее величины.</w:t>
      </w:r>
    </w:p>
    <w:p w:rsidR="00564EEE" w:rsidRPr="00564EEE" w:rsidRDefault="00564EEE">
      <w:pPr>
        <w:pStyle w:val="ConsPlusNormal"/>
        <w:ind w:firstLine="540"/>
        <w:jc w:val="both"/>
      </w:pPr>
      <w:r w:rsidRPr="00564EEE">
        <w:t>3.1.3. Если свободная пропускная способность РУ электростанции отсутствует либо меньше номинальной мощности планируемог</w:t>
      </w:r>
      <w:proofErr w:type="gramStart"/>
      <w:r w:rsidRPr="00564EEE">
        <w:t>о(</w:t>
      </w:r>
      <w:proofErr w:type="spellStart"/>
      <w:proofErr w:type="gramEnd"/>
      <w:r w:rsidRPr="00564EEE">
        <w:t>ых</w:t>
      </w:r>
      <w:proofErr w:type="spellEnd"/>
      <w:r w:rsidRPr="00564EEE">
        <w:t>) к установке генератора(</w:t>
      </w:r>
      <w:proofErr w:type="spellStart"/>
      <w:r w:rsidRPr="00564EEE">
        <w:t>ов</w:t>
      </w:r>
      <w:proofErr w:type="spellEnd"/>
      <w:r w:rsidRPr="00564EEE">
        <w:t>), то присоединение нового генератора(</w:t>
      </w:r>
      <w:proofErr w:type="spellStart"/>
      <w:r w:rsidRPr="00564EEE">
        <w:t>ов</w:t>
      </w:r>
      <w:proofErr w:type="spellEnd"/>
      <w:r w:rsidRPr="00564EEE">
        <w:t xml:space="preserve">) к этому РУ без увеличения числа отходящих от электростанции ЛЭП не допускается. При этом существующий дефицит свободной пропускной </w:t>
      </w:r>
      <w:proofErr w:type="gramStart"/>
      <w:r w:rsidRPr="00564EEE">
        <w:t>способности схемы выдачи мощности электростанции</w:t>
      </w:r>
      <w:proofErr w:type="gramEnd"/>
      <w:r w:rsidRPr="00564EEE">
        <w:t xml:space="preserve"> учету не подлежит.</w:t>
      </w:r>
    </w:p>
    <w:p w:rsidR="00564EEE" w:rsidRPr="00564EEE" w:rsidRDefault="00564EEE">
      <w:pPr>
        <w:pStyle w:val="ConsPlusNormal"/>
        <w:ind w:firstLine="540"/>
        <w:jc w:val="both"/>
      </w:pPr>
      <w:r w:rsidRPr="00564EEE">
        <w:t>Для РУ электростанции, за исключением РУ высшего класса напряжения, при недостатке свободной пропускной способности РУ кроме увеличения числа отходящих от электростанции ЛЭП возможно увеличение числа трансформаторов (автотрансформаторов) или их номинальной мощности.</w:t>
      </w:r>
    </w:p>
    <w:p w:rsidR="00564EEE" w:rsidRPr="00564EEE" w:rsidRDefault="00564EEE">
      <w:pPr>
        <w:pStyle w:val="ConsPlusNormal"/>
        <w:ind w:firstLine="540"/>
        <w:jc w:val="both"/>
      </w:pPr>
      <w:r w:rsidRPr="00564EEE">
        <w:t>3.2. Если свободная пропускная способность существующей схемы выдачи мощности электростанции отсутствует либо меньше номинальной мощности планируемого к установке генерирующего оборудования, определение предварительных параметров РУ реконструируемой электростанции осуществляется в порядке, предусмотренном приложением 2 к Методическим рекомендациям.</w:t>
      </w:r>
    </w:p>
    <w:p w:rsidR="00564EEE" w:rsidRPr="00564EEE" w:rsidRDefault="00564EEE">
      <w:pPr>
        <w:pStyle w:val="ConsPlusNormal"/>
        <w:jc w:val="right"/>
      </w:pPr>
    </w:p>
    <w:p w:rsidR="00564EEE" w:rsidRPr="00564EEE" w:rsidRDefault="00564EEE">
      <w:pPr>
        <w:pStyle w:val="ConsPlusNormal"/>
        <w:jc w:val="right"/>
      </w:pPr>
    </w:p>
    <w:p w:rsidR="00564EEE" w:rsidRPr="00564EEE" w:rsidRDefault="00564EEE">
      <w:pPr>
        <w:pStyle w:val="ConsPlusNormal"/>
        <w:jc w:val="right"/>
      </w:pPr>
    </w:p>
    <w:p w:rsidR="00564EEE" w:rsidRPr="00564EEE" w:rsidRDefault="00564EEE">
      <w:pPr>
        <w:pStyle w:val="ConsPlusNormal"/>
        <w:jc w:val="right"/>
      </w:pPr>
    </w:p>
    <w:p w:rsidR="00564EEE" w:rsidRPr="00564EEE" w:rsidRDefault="00564EEE">
      <w:pPr>
        <w:pStyle w:val="ConsPlusNormal"/>
        <w:jc w:val="right"/>
      </w:pPr>
    </w:p>
    <w:p w:rsidR="00564EEE" w:rsidRPr="00564EEE" w:rsidRDefault="00564EEE">
      <w:pPr>
        <w:pStyle w:val="ConsPlusNormal"/>
        <w:jc w:val="right"/>
      </w:pPr>
      <w:r w:rsidRPr="00564EEE">
        <w:t>Приложение 4</w:t>
      </w:r>
    </w:p>
    <w:p w:rsidR="00564EEE" w:rsidRPr="00564EEE" w:rsidRDefault="00564EEE">
      <w:pPr>
        <w:pStyle w:val="ConsPlusNormal"/>
        <w:jc w:val="right"/>
      </w:pPr>
      <w:r w:rsidRPr="00564EEE">
        <w:lastRenderedPageBreak/>
        <w:t>к Методическим рекомендациям</w:t>
      </w:r>
    </w:p>
    <w:p w:rsidR="00564EEE" w:rsidRPr="00564EEE" w:rsidRDefault="00564EEE">
      <w:pPr>
        <w:pStyle w:val="ConsPlusNormal"/>
        <w:jc w:val="right"/>
      </w:pPr>
      <w:r w:rsidRPr="00564EEE">
        <w:t>по определению предварительных параметров</w:t>
      </w:r>
    </w:p>
    <w:p w:rsidR="00564EEE" w:rsidRPr="00564EEE" w:rsidRDefault="00564EEE">
      <w:pPr>
        <w:pStyle w:val="ConsPlusNormal"/>
        <w:jc w:val="right"/>
      </w:pPr>
      <w:r w:rsidRPr="00564EEE">
        <w:t xml:space="preserve">выдачи мощности </w:t>
      </w:r>
      <w:proofErr w:type="gramStart"/>
      <w:r w:rsidRPr="00564EEE">
        <w:t>строящихся</w:t>
      </w:r>
      <w:proofErr w:type="gramEnd"/>
    </w:p>
    <w:p w:rsidR="00564EEE" w:rsidRPr="00564EEE" w:rsidRDefault="00564EEE">
      <w:pPr>
        <w:pStyle w:val="ConsPlusNormal"/>
        <w:jc w:val="right"/>
      </w:pPr>
      <w:r w:rsidRPr="00564EEE">
        <w:t>(реконструируемых) генерирующих объектов</w:t>
      </w:r>
    </w:p>
    <w:p w:rsidR="00564EEE" w:rsidRPr="00564EEE" w:rsidRDefault="00564EEE">
      <w:pPr>
        <w:pStyle w:val="ConsPlusNormal"/>
        <w:jc w:val="right"/>
      </w:pPr>
      <w:r w:rsidRPr="00564EEE">
        <w:t>в условиях нормальных режимов</w:t>
      </w:r>
    </w:p>
    <w:p w:rsidR="00564EEE" w:rsidRPr="00564EEE" w:rsidRDefault="00564EEE">
      <w:pPr>
        <w:pStyle w:val="ConsPlusNormal"/>
        <w:jc w:val="right"/>
      </w:pPr>
      <w:r w:rsidRPr="00564EEE">
        <w:t xml:space="preserve">функционирования энергосистемы, </w:t>
      </w:r>
      <w:proofErr w:type="gramStart"/>
      <w:r w:rsidRPr="00564EEE">
        <w:t>учитываемых</w:t>
      </w:r>
      <w:proofErr w:type="gramEnd"/>
    </w:p>
    <w:p w:rsidR="00564EEE" w:rsidRPr="00564EEE" w:rsidRDefault="00564EEE">
      <w:pPr>
        <w:pStyle w:val="ConsPlusNormal"/>
        <w:jc w:val="right"/>
      </w:pPr>
      <w:r w:rsidRPr="00564EEE">
        <w:t xml:space="preserve">при определении платы за </w:t>
      </w:r>
      <w:proofErr w:type="gramStart"/>
      <w:r w:rsidRPr="00564EEE">
        <w:t>технологическое</w:t>
      </w:r>
      <w:proofErr w:type="gramEnd"/>
    </w:p>
    <w:p w:rsidR="00564EEE" w:rsidRPr="00564EEE" w:rsidRDefault="00564EEE">
      <w:pPr>
        <w:pStyle w:val="ConsPlusNormal"/>
        <w:jc w:val="right"/>
      </w:pPr>
      <w:r w:rsidRPr="00564EEE">
        <w:t>присоединение таких генерирующих объектов</w:t>
      </w:r>
    </w:p>
    <w:p w:rsidR="00564EEE" w:rsidRPr="00564EEE" w:rsidRDefault="00564EEE">
      <w:pPr>
        <w:pStyle w:val="ConsPlusNormal"/>
        <w:jc w:val="right"/>
      </w:pPr>
      <w:r w:rsidRPr="00564EEE">
        <w:t>к объектам электросетевого хозяйства</w:t>
      </w:r>
    </w:p>
    <w:p w:rsidR="00564EEE" w:rsidRPr="00564EEE" w:rsidRDefault="00564EEE">
      <w:pPr>
        <w:pStyle w:val="ConsPlusNormal"/>
        <w:ind w:firstLine="540"/>
        <w:jc w:val="both"/>
      </w:pPr>
    </w:p>
    <w:p w:rsidR="00564EEE" w:rsidRPr="00564EEE" w:rsidRDefault="00564EEE">
      <w:pPr>
        <w:pStyle w:val="ConsPlusNormal"/>
        <w:jc w:val="center"/>
      </w:pPr>
      <w:bookmarkStart w:id="29" w:name="P297"/>
      <w:bookmarkEnd w:id="29"/>
      <w:r w:rsidRPr="00564EEE">
        <w:t>ДОПУСТИМАЯ ЗАГРУЗКА ЛИНИЙ ЭЛЕКТРОПЕРЕДАЧИ (</w:t>
      </w:r>
      <w:proofErr w:type="gramStart"/>
      <w:r w:rsidRPr="00564EEE">
        <w:t>ВЛ</w:t>
      </w:r>
      <w:proofErr w:type="gramEnd"/>
      <w:r w:rsidRPr="00564EEE">
        <w:t>/КЛ)</w:t>
      </w:r>
    </w:p>
    <w:p w:rsidR="00564EEE" w:rsidRPr="00564EEE" w:rsidRDefault="00564EEE">
      <w:pPr>
        <w:pStyle w:val="ConsPlusNormal"/>
        <w:jc w:val="center"/>
      </w:pPr>
      <w:r w:rsidRPr="00564EEE">
        <w:t>КЛАССОМ НАПРЯЖЕНИЯ 35 КВ И НИЖЕ</w:t>
      </w:r>
    </w:p>
    <w:p w:rsidR="00564EEE" w:rsidRPr="00564EEE" w:rsidRDefault="00564EE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760"/>
        <w:gridCol w:w="3480"/>
        <w:gridCol w:w="3000"/>
      </w:tblGrid>
      <w:tr w:rsidR="00564EEE" w:rsidRPr="00564EEE">
        <w:trPr>
          <w:trHeight w:val="240"/>
        </w:trPr>
        <w:tc>
          <w:tcPr>
            <w:tcW w:w="2760" w:type="dxa"/>
          </w:tcPr>
          <w:p w:rsidR="00564EEE" w:rsidRPr="00564EEE" w:rsidRDefault="00564EEE">
            <w:pPr>
              <w:pStyle w:val="ConsPlusNonformat"/>
              <w:jc w:val="both"/>
            </w:pPr>
            <w:r w:rsidRPr="00564EEE">
              <w:t xml:space="preserve">   Напряжение, </w:t>
            </w:r>
            <w:proofErr w:type="spellStart"/>
            <w:r w:rsidRPr="00564EEE">
              <w:t>кВ</w:t>
            </w:r>
            <w:proofErr w:type="spellEnd"/>
            <w:r w:rsidRPr="00564EEE">
              <w:t xml:space="preserve">    </w:t>
            </w:r>
          </w:p>
        </w:tc>
        <w:tc>
          <w:tcPr>
            <w:tcW w:w="3480" w:type="dxa"/>
          </w:tcPr>
          <w:p w:rsidR="00564EEE" w:rsidRPr="00564EEE" w:rsidRDefault="00564EEE">
            <w:pPr>
              <w:pStyle w:val="ConsPlusNonformat"/>
              <w:jc w:val="both"/>
            </w:pPr>
            <w:r w:rsidRPr="00564EEE">
              <w:t xml:space="preserve">  Максимальная допустимая  </w:t>
            </w:r>
          </w:p>
          <w:p w:rsidR="00564EEE" w:rsidRPr="00564EEE" w:rsidRDefault="00564EEE">
            <w:pPr>
              <w:pStyle w:val="ConsPlusNonformat"/>
              <w:jc w:val="both"/>
            </w:pPr>
            <w:r w:rsidRPr="00564EEE">
              <w:t xml:space="preserve">     мощность ЛЭП, МВт     </w:t>
            </w:r>
          </w:p>
        </w:tc>
        <w:tc>
          <w:tcPr>
            <w:tcW w:w="3000" w:type="dxa"/>
          </w:tcPr>
          <w:p w:rsidR="00564EEE" w:rsidRPr="00564EEE" w:rsidRDefault="00564EEE">
            <w:pPr>
              <w:pStyle w:val="ConsPlusNonformat"/>
              <w:jc w:val="both"/>
            </w:pPr>
            <w:r w:rsidRPr="00564EEE">
              <w:t xml:space="preserve">  Предельное значение  </w:t>
            </w:r>
          </w:p>
          <w:p w:rsidR="00564EEE" w:rsidRPr="00564EEE" w:rsidRDefault="00564EEE">
            <w:pPr>
              <w:pStyle w:val="ConsPlusNonformat"/>
              <w:jc w:val="both"/>
            </w:pPr>
            <w:r w:rsidRPr="00564EEE">
              <w:t xml:space="preserve">     длины ЛЭП, </w:t>
            </w:r>
            <w:proofErr w:type="gramStart"/>
            <w:r w:rsidRPr="00564EEE">
              <w:t>км</w:t>
            </w:r>
            <w:proofErr w:type="gramEnd"/>
            <w:r w:rsidRPr="00564EEE">
              <w:t xml:space="preserve">     </w:t>
            </w:r>
          </w:p>
        </w:tc>
      </w:tr>
      <w:tr w:rsidR="00564EEE" w:rsidRPr="00564EEE">
        <w:trPr>
          <w:trHeight w:val="240"/>
        </w:trPr>
        <w:tc>
          <w:tcPr>
            <w:tcW w:w="2760" w:type="dxa"/>
            <w:tcBorders>
              <w:top w:val="nil"/>
            </w:tcBorders>
          </w:tcPr>
          <w:p w:rsidR="00564EEE" w:rsidRPr="00564EEE" w:rsidRDefault="00564EEE">
            <w:pPr>
              <w:pStyle w:val="ConsPlusNonformat"/>
              <w:jc w:val="both"/>
            </w:pPr>
            <w:r w:rsidRPr="00564EEE">
              <w:t xml:space="preserve">        10 (6)       </w:t>
            </w:r>
          </w:p>
        </w:tc>
        <w:tc>
          <w:tcPr>
            <w:tcW w:w="3480" w:type="dxa"/>
            <w:tcBorders>
              <w:top w:val="nil"/>
            </w:tcBorders>
          </w:tcPr>
          <w:p w:rsidR="00564EEE" w:rsidRPr="00564EEE" w:rsidRDefault="00564EEE">
            <w:pPr>
              <w:pStyle w:val="ConsPlusNonformat"/>
              <w:jc w:val="both"/>
            </w:pPr>
            <w:r w:rsidRPr="00564EEE">
              <w:t xml:space="preserve">           2,1/4           </w:t>
            </w:r>
          </w:p>
        </w:tc>
        <w:tc>
          <w:tcPr>
            <w:tcW w:w="3000" w:type="dxa"/>
            <w:tcBorders>
              <w:top w:val="nil"/>
            </w:tcBorders>
          </w:tcPr>
          <w:p w:rsidR="00564EEE" w:rsidRPr="00564EEE" w:rsidRDefault="00564EEE">
            <w:pPr>
              <w:pStyle w:val="ConsPlusNonformat"/>
              <w:jc w:val="both"/>
            </w:pPr>
            <w:r w:rsidRPr="00564EEE">
              <w:t xml:space="preserve">        5/0,35         </w:t>
            </w:r>
          </w:p>
        </w:tc>
      </w:tr>
      <w:tr w:rsidR="00564EEE" w:rsidRPr="00564EEE">
        <w:trPr>
          <w:trHeight w:val="240"/>
        </w:trPr>
        <w:tc>
          <w:tcPr>
            <w:tcW w:w="2760" w:type="dxa"/>
            <w:tcBorders>
              <w:top w:val="nil"/>
            </w:tcBorders>
          </w:tcPr>
          <w:p w:rsidR="00564EEE" w:rsidRPr="00564EEE" w:rsidRDefault="00564EEE">
            <w:pPr>
              <w:pStyle w:val="ConsPlusNonformat"/>
              <w:jc w:val="both"/>
            </w:pPr>
            <w:r w:rsidRPr="00564EEE">
              <w:t xml:space="preserve">         20          </w:t>
            </w:r>
          </w:p>
        </w:tc>
        <w:tc>
          <w:tcPr>
            <w:tcW w:w="3480" w:type="dxa"/>
            <w:tcBorders>
              <w:top w:val="nil"/>
            </w:tcBorders>
          </w:tcPr>
          <w:p w:rsidR="00564EEE" w:rsidRPr="00564EEE" w:rsidRDefault="00564EEE">
            <w:pPr>
              <w:pStyle w:val="ConsPlusNonformat"/>
              <w:jc w:val="both"/>
            </w:pPr>
            <w:r w:rsidRPr="00564EEE">
              <w:t xml:space="preserve">         7,5/12,5          </w:t>
            </w:r>
          </w:p>
        </w:tc>
        <w:tc>
          <w:tcPr>
            <w:tcW w:w="3000" w:type="dxa"/>
            <w:tcBorders>
              <w:top w:val="nil"/>
            </w:tcBorders>
          </w:tcPr>
          <w:p w:rsidR="00564EEE" w:rsidRPr="00564EEE" w:rsidRDefault="00564EEE">
            <w:pPr>
              <w:pStyle w:val="ConsPlusNonformat"/>
              <w:jc w:val="both"/>
            </w:pPr>
            <w:r w:rsidRPr="00564EEE">
              <w:t xml:space="preserve">        8/0,25         </w:t>
            </w:r>
          </w:p>
        </w:tc>
      </w:tr>
      <w:tr w:rsidR="00564EEE" w:rsidRPr="00564EEE">
        <w:trPr>
          <w:trHeight w:val="240"/>
        </w:trPr>
        <w:tc>
          <w:tcPr>
            <w:tcW w:w="2760" w:type="dxa"/>
            <w:tcBorders>
              <w:top w:val="nil"/>
            </w:tcBorders>
          </w:tcPr>
          <w:p w:rsidR="00564EEE" w:rsidRPr="00564EEE" w:rsidRDefault="00564EEE">
            <w:pPr>
              <w:pStyle w:val="ConsPlusNonformat"/>
              <w:jc w:val="both"/>
            </w:pPr>
            <w:r w:rsidRPr="00564EEE">
              <w:t xml:space="preserve">         35          </w:t>
            </w:r>
          </w:p>
        </w:tc>
        <w:tc>
          <w:tcPr>
            <w:tcW w:w="3480" w:type="dxa"/>
            <w:tcBorders>
              <w:top w:val="nil"/>
            </w:tcBorders>
          </w:tcPr>
          <w:p w:rsidR="00564EEE" w:rsidRPr="00564EEE" w:rsidRDefault="00564EEE">
            <w:pPr>
              <w:pStyle w:val="ConsPlusNonformat"/>
              <w:jc w:val="both"/>
            </w:pPr>
            <w:r w:rsidRPr="00564EEE">
              <w:t xml:space="preserve">          9,3/19           </w:t>
            </w:r>
          </w:p>
        </w:tc>
        <w:tc>
          <w:tcPr>
            <w:tcW w:w="3000" w:type="dxa"/>
            <w:tcBorders>
              <w:top w:val="nil"/>
            </w:tcBorders>
          </w:tcPr>
          <w:p w:rsidR="00564EEE" w:rsidRPr="00564EEE" w:rsidRDefault="00564EEE">
            <w:pPr>
              <w:pStyle w:val="ConsPlusNonformat"/>
              <w:jc w:val="both"/>
            </w:pPr>
            <w:r w:rsidRPr="00564EEE">
              <w:t xml:space="preserve">        20/0,25        </w:t>
            </w:r>
          </w:p>
        </w:tc>
      </w:tr>
    </w:tbl>
    <w:p w:rsidR="00564EEE" w:rsidRPr="00564EEE" w:rsidRDefault="00564EEE">
      <w:pPr>
        <w:pStyle w:val="ConsPlusNormal"/>
        <w:ind w:firstLine="540"/>
        <w:jc w:val="both"/>
      </w:pPr>
    </w:p>
    <w:p w:rsidR="00564EEE" w:rsidRPr="00564EEE" w:rsidRDefault="00564EEE">
      <w:pPr>
        <w:pStyle w:val="ConsPlusNormal"/>
        <w:ind w:firstLine="540"/>
        <w:jc w:val="both"/>
      </w:pPr>
      <w:r w:rsidRPr="00564EEE">
        <w:t>Примечание:</w:t>
      </w:r>
    </w:p>
    <w:p w:rsidR="00564EEE" w:rsidRPr="00564EEE" w:rsidRDefault="00564EEE">
      <w:pPr>
        <w:pStyle w:val="ConsPlusNormal"/>
        <w:ind w:firstLine="540"/>
        <w:jc w:val="both"/>
      </w:pPr>
      <w:r w:rsidRPr="00564EEE">
        <w:t>1. Указанная в настоящем приложении максимальная допустимая мощность ЛЭП определена на основании их допустимой мощности при нормированной плотности тока.</w:t>
      </w:r>
    </w:p>
    <w:p w:rsidR="00564EEE" w:rsidRPr="00564EEE" w:rsidRDefault="00564EEE">
      <w:pPr>
        <w:pStyle w:val="ConsPlusNormal"/>
        <w:ind w:firstLine="540"/>
        <w:jc w:val="both"/>
      </w:pPr>
      <w:r w:rsidRPr="00564EEE">
        <w:t xml:space="preserve">2. </w:t>
      </w:r>
      <w:proofErr w:type="gramStart"/>
      <w:r w:rsidRPr="00564EEE">
        <w:t>Для ЛЭП, сооружаемых в габаритах следующего класса напряжения, допускается соответствующее увеличение предельного значения длины.</w:t>
      </w:r>
      <w:proofErr w:type="gramEnd"/>
    </w:p>
    <w:p w:rsidR="00564EEE" w:rsidRPr="00564EEE" w:rsidRDefault="00564EEE">
      <w:pPr>
        <w:pStyle w:val="ConsPlusNormal"/>
        <w:jc w:val="right"/>
      </w:pPr>
    </w:p>
    <w:p w:rsidR="00564EEE" w:rsidRPr="00564EEE" w:rsidRDefault="00564EEE">
      <w:pPr>
        <w:pStyle w:val="ConsPlusNormal"/>
        <w:jc w:val="right"/>
      </w:pPr>
    </w:p>
    <w:p w:rsidR="00564EEE" w:rsidRPr="00564EEE" w:rsidRDefault="00564EEE">
      <w:pPr>
        <w:pStyle w:val="ConsPlusNormal"/>
        <w:jc w:val="right"/>
      </w:pPr>
    </w:p>
    <w:p w:rsidR="00564EEE" w:rsidRPr="00564EEE" w:rsidRDefault="00564EEE">
      <w:pPr>
        <w:pStyle w:val="ConsPlusNormal"/>
        <w:jc w:val="right"/>
      </w:pPr>
    </w:p>
    <w:p w:rsidR="00564EEE" w:rsidRPr="00564EEE" w:rsidRDefault="00564EEE">
      <w:pPr>
        <w:pStyle w:val="ConsPlusNormal"/>
        <w:jc w:val="right"/>
      </w:pPr>
    </w:p>
    <w:p w:rsidR="00564EEE" w:rsidRPr="00564EEE" w:rsidRDefault="00564EEE">
      <w:pPr>
        <w:pStyle w:val="ConsPlusNormal"/>
        <w:jc w:val="right"/>
      </w:pPr>
      <w:r w:rsidRPr="00564EEE">
        <w:t>Приложение 5</w:t>
      </w:r>
    </w:p>
    <w:p w:rsidR="00564EEE" w:rsidRPr="00564EEE" w:rsidRDefault="00564EEE">
      <w:pPr>
        <w:pStyle w:val="ConsPlusNormal"/>
        <w:jc w:val="right"/>
      </w:pPr>
      <w:r w:rsidRPr="00564EEE">
        <w:t>к Методическим рекомендациям</w:t>
      </w:r>
    </w:p>
    <w:p w:rsidR="00564EEE" w:rsidRPr="00564EEE" w:rsidRDefault="00564EEE">
      <w:pPr>
        <w:pStyle w:val="ConsPlusNormal"/>
        <w:jc w:val="right"/>
      </w:pPr>
      <w:r w:rsidRPr="00564EEE">
        <w:t>по определению предварительных параметров</w:t>
      </w:r>
    </w:p>
    <w:p w:rsidR="00564EEE" w:rsidRPr="00564EEE" w:rsidRDefault="00564EEE">
      <w:pPr>
        <w:pStyle w:val="ConsPlusNormal"/>
        <w:jc w:val="right"/>
      </w:pPr>
      <w:r w:rsidRPr="00564EEE">
        <w:t xml:space="preserve">выдачи мощности </w:t>
      </w:r>
      <w:proofErr w:type="gramStart"/>
      <w:r w:rsidRPr="00564EEE">
        <w:t>строящихся</w:t>
      </w:r>
      <w:proofErr w:type="gramEnd"/>
    </w:p>
    <w:p w:rsidR="00564EEE" w:rsidRPr="00564EEE" w:rsidRDefault="00564EEE">
      <w:pPr>
        <w:pStyle w:val="ConsPlusNormal"/>
        <w:jc w:val="right"/>
      </w:pPr>
      <w:r w:rsidRPr="00564EEE">
        <w:t>(реконструируемых) генерирующих объектов</w:t>
      </w:r>
    </w:p>
    <w:p w:rsidR="00564EEE" w:rsidRPr="00564EEE" w:rsidRDefault="00564EEE">
      <w:pPr>
        <w:pStyle w:val="ConsPlusNormal"/>
        <w:jc w:val="right"/>
      </w:pPr>
      <w:r w:rsidRPr="00564EEE">
        <w:t>в условиях нормальных режимов</w:t>
      </w:r>
    </w:p>
    <w:p w:rsidR="00564EEE" w:rsidRPr="00564EEE" w:rsidRDefault="00564EEE">
      <w:pPr>
        <w:pStyle w:val="ConsPlusNormal"/>
        <w:jc w:val="right"/>
      </w:pPr>
      <w:r w:rsidRPr="00564EEE">
        <w:t xml:space="preserve">функционирования энергосистемы, </w:t>
      </w:r>
      <w:proofErr w:type="gramStart"/>
      <w:r w:rsidRPr="00564EEE">
        <w:t>учитываемых</w:t>
      </w:r>
      <w:proofErr w:type="gramEnd"/>
    </w:p>
    <w:p w:rsidR="00564EEE" w:rsidRPr="00564EEE" w:rsidRDefault="00564EEE">
      <w:pPr>
        <w:pStyle w:val="ConsPlusNormal"/>
        <w:jc w:val="right"/>
      </w:pPr>
      <w:r w:rsidRPr="00564EEE">
        <w:t xml:space="preserve">при определении платы за </w:t>
      </w:r>
      <w:proofErr w:type="gramStart"/>
      <w:r w:rsidRPr="00564EEE">
        <w:t>технологическое</w:t>
      </w:r>
      <w:proofErr w:type="gramEnd"/>
    </w:p>
    <w:p w:rsidR="00564EEE" w:rsidRPr="00564EEE" w:rsidRDefault="00564EEE">
      <w:pPr>
        <w:pStyle w:val="ConsPlusNormal"/>
        <w:jc w:val="right"/>
      </w:pPr>
      <w:r w:rsidRPr="00564EEE">
        <w:t>присоединение таких генерирующих объектов</w:t>
      </w:r>
    </w:p>
    <w:p w:rsidR="00564EEE" w:rsidRPr="00564EEE" w:rsidRDefault="00564EEE">
      <w:pPr>
        <w:pStyle w:val="ConsPlusNormal"/>
        <w:jc w:val="right"/>
      </w:pPr>
      <w:r w:rsidRPr="00564EEE">
        <w:t>к объектам электросетевого хозяйства</w:t>
      </w:r>
    </w:p>
    <w:p w:rsidR="00564EEE" w:rsidRPr="00564EEE" w:rsidRDefault="00564EEE">
      <w:pPr>
        <w:pStyle w:val="ConsPlusNormal"/>
        <w:ind w:firstLine="540"/>
        <w:jc w:val="both"/>
      </w:pPr>
    </w:p>
    <w:p w:rsidR="00564EEE" w:rsidRPr="00564EEE" w:rsidRDefault="00564EEE">
      <w:pPr>
        <w:pStyle w:val="ConsPlusNormal"/>
        <w:jc w:val="center"/>
      </w:pPr>
      <w:bookmarkStart w:id="30" w:name="P330"/>
      <w:bookmarkEnd w:id="30"/>
      <w:r w:rsidRPr="00564EEE">
        <w:t>РЕКОМЕНДУЕМЫЕ СРОКИ</w:t>
      </w:r>
    </w:p>
    <w:p w:rsidR="00564EEE" w:rsidRPr="00564EEE" w:rsidRDefault="00564EEE">
      <w:pPr>
        <w:pStyle w:val="ConsPlusNormal"/>
        <w:jc w:val="center"/>
      </w:pPr>
      <w:r w:rsidRPr="00564EEE">
        <w:t>ВЫПОЛНЕНИЯ РАБОТ ПО ПРОЕКТИРОВАНИЮ И СТРОИТЕЛЬСТВУ</w:t>
      </w:r>
    </w:p>
    <w:p w:rsidR="00564EEE" w:rsidRPr="00564EEE" w:rsidRDefault="00564EEE">
      <w:pPr>
        <w:pStyle w:val="ConsPlusNormal"/>
        <w:jc w:val="center"/>
      </w:pPr>
      <w:r w:rsidRPr="00564EEE">
        <w:t>(РЕКОНСТРУКЦИИ) ОБЪЕКТОВ ЭЛЕКТРОСЕТЕВОГО ХОЗЯЙСТВА</w:t>
      </w:r>
    </w:p>
    <w:p w:rsidR="00564EEE" w:rsidRPr="00564EEE" w:rsidRDefault="00564EEE">
      <w:pPr>
        <w:pStyle w:val="ConsPlusNormal"/>
        <w:jc w:val="center"/>
      </w:pPr>
      <w:r w:rsidRPr="00564EEE">
        <w:t>ПРИ ОСУЩЕСТВЛЕНИИ ТЕХНОЛОГИЧЕСКОГО ПРИСОЕДИНЕНИЯ</w:t>
      </w:r>
    </w:p>
    <w:p w:rsidR="00564EEE" w:rsidRPr="00564EEE" w:rsidRDefault="00564EEE">
      <w:pPr>
        <w:pStyle w:val="ConsPlusNormal"/>
        <w:jc w:val="center"/>
      </w:pPr>
      <w:r w:rsidRPr="00564EEE">
        <w:t>ГЕНЕРИРУЮЩИХ ОБЪЕКТОВ К ЭЛЕКТРИЧЕСКИМ СЕТЯМ</w:t>
      </w:r>
    </w:p>
    <w:p w:rsidR="00564EEE" w:rsidRPr="00564EEE" w:rsidRDefault="00564EEE">
      <w:pPr>
        <w:pStyle w:val="ConsPlusNormal"/>
        <w:ind w:firstLine="540"/>
        <w:jc w:val="both"/>
      </w:pPr>
    </w:p>
    <w:p w:rsidR="00564EEE" w:rsidRPr="00564EEE" w:rsidRDefault="00564EEE">
      <w:pPr>
        <w:pStyle w:val="ConsPlusNormal"/>
        <w:ind w:firstLine="540"/>
        <w:jc w:val="both"/>
      </w:pPr>
      <w:r w:rsidRPr="00564EEE">
        <w:t xml:space="preserve">1. Сроки выполнения работ по проектированию и новому строительству ПС напряжением 35 - 500 </w:t>
      </w:r>
      <w:proofErr w:type="spellStart"/>
      <w:r w:rsidRPr="00564EEE">
        <w:t>кВ</w:t>
      </w:r>
      <w:proofErr w:type="spellEnd"/>
      <w:r w:rsidRPr="00564EEE">
        <w:t xml:space="preserve">, КЛ напряжением 6 - 500 </w:t>
      </w:r>
      <w:proofErr w:type="spellStart"/>
      <w:r w:rsidRPr="00564EEE">
        <w:t>кВ</w:t>
      </w:r>
      <w:proofErr w:type="spellEnd"/>
      <w:r w:rsidRPr="00564EEE">
        <w:t xml:space="preserve"> и </w:t>
      </w:r>
      <w:proofErr w:type="gramStart"/>
      <w:r w:rsidRPr="00564EEE">
        <w:t>ВЛ</w:t>
      </w:r>
      <w:proofErr w:type="gramEnd"/>
      <w:r w:rsidRPr="00564EEE">
        <w:t xml:space="preserve"> напряжением 6 - 500 </w:t>
      </w:r>
      <w:proofErr w:type="spellStart"/>
      <w:r w:rsidRPr="00564EEE">
        <w:t>кВ</w:t>
      </w:r>
      <w:proofErr w:type="spellEnd"/>
      <w:r w:rsidRPr="00564EEE">
        <w:t>, в месяцах (Таблица 1)</w:t>
      </w:r>
    </w:p>
    <w:p w:rsidR="00564EEE" w:rsidRPr="00564EEE" w:rsidRDefault="00564EEE">
      <w:pPr>
        <w:pStyle w:val="ConsPlusNormal"/>
        <w:ind w:firstLine="540"/>
        <w:jc w:val="both"/>
      </w:pPr>
    </w:p>
    <w:p w:rsidR="00564EEE" w:rsidRPr="00564EEE" w:rsidRDefault="00564EEE">
      <w:pPr>
        <w:pStyle w:val="ConsPlusNormal"/>
        <w:jc w:val="right"/>
      </w:pPr>
      <w:bookmarkStart w:id="31" w:name="P338"/>
      <w:bookmarkEnd w:id="31"/>
      <w:r w:rsidRPr="00564EEE">
        <w:t>Таблица 1</w:t>
      </w:r>
    </w:p>
    <w:p w:rsidR="00564EEE" w:rsidRPr="00564EEE" w:rsidRDefault="00564EE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800"/>
        <w:gridCol w:w="1512"/>
        <w:gridCol w:w="1008"/>
        <w:gridCol w:w="1296"/>
        <w:gridCol w:w="1224"/>
        <w:gridCol w:w="1080"/>
        <w:gridCol w:w="1440"/>
      </w:tblGrid>
      <w:tr w:rsidR="00564EEE" w:rsidRPr="00564EEE">
        <w:trPr>
          <w:trHeight w:val="140"/>
        </w:trPr>
        <w:tc>
          <w:tcPr>
            <w:tcW w:w="1800" w:type="dxa"/>
          </w:tcPr>
          <w:p w:rsidR="00564EEE" w:rsidRPr="00564EEE" w:rsidRDefault="00564EEE">
            <w:pPr>
              <w:pStyle w:val="ConsPlusNonformat"/>
              <w:jc w:val="both"/>
            </w:pPr>
            <w:r w:rsidRPr="00564EEE">
              <w:rPr>
                <w:sz w:val="12"/>
              </w:rPr>
              <w:t xml:space="preserve">        Объект         </w:t>
            </w:r>
          </w:p>
        </w:tc>
        <w:tc>
          <w:tcPr>
            <w:tcW w:w="1512" w:type="dxa"/>
          </w:tcPr>
          <w:p w:rsidR="00564EEE" w:rsidRPr="00564EEE" w:rsidRDefault="00564EEE">
            <w:pPr>
              <w:pStyle w:val="ConsPlusNonformat"/>
              <w:jc w:val="both"/>
            </w:pPr>
            <w:r w:rsidRPr="00564EEE">
              <w:rPr>
                <w:sz w:val="12"/>
              </w:rPr>
              <w:t xml:space="preserve">    Разработка     </w:t>
            </w:r>
          </w:p>
          <w:p w:rsidR="00564EEE" w:rsidRPr="00564EEE" w:rsidRDefault="00564EEE">
            <w:pPr>
              <w:pStyle w:val="ConsPlusNonformat"/>
              <w:jc w:val="both"/>
            </w:pPr>
            <w:r w:rsidRPr="00564EEE">
              <w:rPr>
                <w:sz w:val="12"/>
              </w:rPr>
              <w:lastRenderedPageBreak/>
              <w:t xml:space="preserve">   технического    </w:t>
            </w:r>
          </w:p>
          <w:p w:rsidR="00564EEE" w:rsidRPr="00564EEE" w:rsidRDefault="00564EEE">
            <w:pPr>
              <w:pStyle w:val="ConsPlusNonformat"/>
              <w:jc w:val="both"/>
            </w:pPr>
            <w:r w:rsidRPr="00564EEE">
              <w:rPr>
                <w:sz w:val="12"/>
              </w:rPr>
              <w:t xml:space="preserve">  задания, выбор   </w:t>
            </w:r>
          </w:p>
          <w:p w:rsidR="00564EEE" w:rsidRPr="00564EEE" w:rsidRDefault="00564EEE">
            <w:pPr>
              <w:pStyle w:val="ConsPlusNonformat"/>
              <w:jc w:val="both"/>
            </w:pPr>
            <w:r w:rsidRPr="00564EEE">
              <w:rPr>
                <w:sz w:val="12"/>
              </w:rPr>
              <w:t xml:space="preserve">     проектной     </w:t>
            </w:r>
          </w:p>
          <w:p w:rsidR="00564EEE" w:rsidRPr="00564EEE" w:rsidRDefault="00564EEE">
            <w:pPr>
              <w:pStyle w:val="ConsPlusNonformat"/>
              <w:jc w:val="both"/>
            </w:pPr>
            <w:r w:rsidRPr="00564EEE">
              <w:rPr>
                <w:sz w:val="12"/>
              </w:rPr>
              <w:t xml:space="preserve">  организации </w:t>
            </w:r>
            <w:proofErr w:type="gramStart"/>
            <w:r w:rsidRPr="00564EEE">
              <w:rPr>
                <w:sz w:val="12"/>
              </w:rPr>
              <w:t>по</w:t>
            </w:r>
            <w:proofErr w:type="gramEnd"/>
            <w:r w:rsidRPr="00564EEE">
              <w:rPr>
                <w:sz w:val="12"/>
              </w:rPr>
              <w:t xml:space="preserve">   </w:t>
            </w:r>
          </w:p>
          <w:p w:rsidR="00564EEE" w:rsidRPr="00564EEE" w:rsidRDefault="00564EEE">
            <w:pPr>
              <w:pStyle w:val="ConsPlusNonformat"/>
              <w:jc w:val="both"/>
            </w:pPr>
            <w:r w:rsidRPr="00564EEE">
              <w:rPr>
                <w:sz w:val="12"/>
              </w:rPr>
              <w:t xml:space="preserve"> итогам </w:t>
            </w:r>
            <w:proofErr w:type="gramStart"/>
            <w:r w:rsidRPr="00564EEE">
              <w:rPr>
                <w:sz w:val="12"/>
              </w:rPr>
              <w:t>закупочных</w:t>
            </w:r>
            <w:proofErr w:type="gramEnd"/>
            <w:r w:rsidRPr="00564EEE">
              <w:rPr>
                <w:sz w:val="12"/>
              </w:rPr>
              <w:t xml:space="preserve"> </w:t>
            </w:r>
          </w:p>
          <w:p w:rsidR="00564EEE" w:rsidRPr="00564EEE" w:rsidRDefault="00564EEE">
            <w:pPr>
              <w:pStyle w:val="ConsPlusNonformat"/>
              <w:jc w:val="both"/>
            </w:pPr>
            <w:r w:rsidRPr="00564EEE">
              <w:rPr>
                <w:sz w:val="12"/>
              </w:rPr>
              <w:t xml:space="preserve">     процедур,     </w:t>
            </w:r>
          </w:p>
          <w:p w:rsidR="00564EEE" w:rsidRPr="00564EEE" w:rsidRDefault="00564EEE">
            <w:pPr>
              <w:pStyle w:val="ConsPlusNonformat"/>
              <w:jc w:val="both"/>
            </w:pPr>
            <w:r w:rsidRPr="00564EEE">
              <w:rPr>
                <w:sz w:val="12"/>
              </w:rPr>
              <w:t>заключение договора</w:t>
            </w:r>
          </w:p>
          <w:p w:rsidR="00564EEE" w:rsidRPr="00564EEE" w:rsidRDefault="00564EEE">
            <w:pPr>
              <w:pStyle w:val="ConsPlusNonformat"/>
              <w:jc w:val="both"/>
            </w:pPr>
            <w:r w:rsidRPr="00564EEE">
              <w:rPr>
                <w:sz w:val="12"/>
              </w:rPr>
              <w:t xml:space="preserve"> на проектирование </w:t>
            </w:r>
          </w:p>
        </w:tc>
        <w:tc>
          <w:tcPr>
            <w:tcW w:w="1008" w:type="dxa"/>
          </w:tcPr>
          <w:p w:rsidR="00564EEE" w:rsidRPr="00564EEE" w:rsidRDefault="00564EEE">
            <w:pPr>
              <w:pStyle w:val="ConsPlusNonformat"/>
              <w:jc w:val="both"/>
            </w:pPr>
            <w:r w:rsidRPr="00564EEE">
              <w:rPr>
                <w:sz w:val="12"/>
              </w:rPr>
              <w:lastRenderedPageBreak/>
              <w:t xml:space="preserve"> Разработка </w:t>
            </w:r>
          </w:p>
          <w:p w:rsidR="00564EEE" w:rsidRPr="00564EEE" w:rsidRDefault="00564EEE">
            <w:pPr>
              <w:pStyle w:val="ConsPlusNonformat"/>
              <w:jc w:val="both"/>
            </w:pPr>
            <w:r w:rsidRPr="00564EEE">
              <w:rPr>
                <w:sz w:val="12"/>
              </w:rPr>
              <w:lastRenderedPageBreak/>
              <w:t xml:space="preserve"> проектной  </w:t>
            </w:r>
          </w:p>
          <w:p w:rsidR="00564EEE" w:rsidRPr="00564EEE" w:rsidRDefault="00564EEE">
            <w:pPr>
              <w:pStyle w:val="ConsPlusNonformat"/>
              <w:jc w:val="both"/>
            </w:pPr>
            <w:r w:rsidRPr="00564EEE">
              <w:rPr>
                <w:sz w:val="12"/>
              </w:rPr>
              <w:t>документации</w:t>
            </w:r>
          </w:p>
        </w:tc>
        <w:tc>
          <w:tcPr>
            <w:tcW w:w="1296" w:type="dxa"/>
          </w:tcPr>
          <w:p w:rsidR="00564EEE" w:rsidRPr="00564EEE" w:rsidRDefault="00564EEE">
            <w:pPr>
              <w:pStyle w:val="ConsPlusNonformat"/>
              <w:jc w:val="both"/>
            </w:pPr>
            <w:r w:rsidRPr="00564EEE">
              <w:rPr>
                <w:sz w:val="12"/>
              </w:rPr>
              <w:lastRenderedPageBreak/>
              <w:t xml:space="preserve">  Согласование  </w:t>
            </w:r>
          </w:p>
          <w:p w:rsidR="00564EEE" w:rsidRPr="00564EEE" w:rsidRDefault="00564EEE">
            <w:pPr>
              <w:pStyle w:val="ConsPlusNonformat"/>
              <w:jc w:val="both"/>
            </w:pPr>
            <w:r w:rsidRPr="00564EEE">
              <w:rPr>
                <w:sz w:val="12"/>
              </w:rPr>
              <w:lastRenderedPageBreak/>
              <w:t xml:space="preserve">   проектной    </w:t>
            </w:r>
          </w:p>
          <w:p w:rsidR="00564EEE" w:rsidRPr="00564EEE" w:rsidRDefault="00564EEE">
            <w:pPr>
              <w:pStyle w:val="ConsPlusNonformat"/>
              <w:jc w:val="both"/>
            </w:pPr>
            <w:r w:rsidRPr="00564EEE">
              <w:rPr>
                <w:sz w:val="12"/>
              </w:rPr>
              <w:t xml:space="preserve"> документации </w:t>
            </w:r>
            <w:proofErr w:type="gramStart"/>
            <w:r w:rsidRPr="00564EEE">
              <w:rPr>
                <w:sz w:val="12"/>
              </w:rPr>
              <w:t>с</w:t>
            </w:r>
            <w:proofErr w:type="gramEnd"/>
            <w:r w:rsidRPr="00564EEE">
              <w:rPr>
                <w:sz w:val="12"/>
              </w:rPr>
              <w:t xml:space="preserve"> </w:t>
            </w:r>
          </w:p>
          <w:p w:rsidR="00564EEE" w:rsidRPr="00564EEE" w:rsidRDefault="00564EEE">
            <w:pPr>
              <w:pStyle w:val="ConsPlusNonformat"/>
              <w:jc w:val="both"/>
            </w:pPr>
            <w:r w:rsidRPr="00564EEE">
              <w:rPr>
                <w:sz w:val="12"/>
              </w:rPr>
              <w:t xml:space="preserve">   системным    </w:t>
            </w:r>
          </w:p>
          <w:p w:rsidR="00564EEE" w:rsidRPr="00564EEE" w:rsidRDefault="00564EEE">
            <w:pPr>
              <w:pStyle w:val="ConsPlusNonformat"/>
              <w:jc w:val="both"/>
            </w:pPr>
            <w:r w:rsidRPr="00564EEE">
              <w:rPr>
                <w:sz w:val="12"/>
              </w:rPr>
              <w:t xml:space="preserve">  оператором и  </w:t>
            </w:r>
          </w:p>
          <w:p w:rsidR="00564EEE" w:rsidRPr="00564EEE" w:rsidRDefault="00564EEE">
            <w:pPr>
              <w:pStyle w:val="ConsPlusNonformat"/>
              <w:jc w:val="both"/>
            </w:pPr>
            <w:r w:rsidRPr="00564EEE">
              <w:rPr>
                <w:sz w:val="12"/>
              </w:rPr>
              <w:t xml:space="preserve">    смежными    </w:t>
            </w:r>
          </w:p>
          <w:p w:rsidR="00564EEE" w:rsidRPr="00564EEE" w:rsidRDefault="00564EEE">
            <w:pPr>
              <w:pStyle w:val="ConsPlusNonformat"/>
              <w:jc w:val="both"/>
            </w:pPr>
            <w:r w:rsidRPr="00564EEE">
              <w:rPr>
                <w:sz w:val="12"/>
              </w:rPr>
              <w:t xml:space="preserve">    сетевыми    </w:t>
            </w:r>
          </w:p>
          <w:p w:rsidR="00564EEE" w:rsidRPr="00564EEE" w:rsidRDefault="00564EEE">
            <w:pPr>
              <w:pStyle w:val="ConsPlusNonformat"/>
              <w:jc w:val="both"/>
            </w:pPr>
            <w:r w:rsidRPr="00564EEE">
              <w:rPr>
                <w:sz w:val="12"/>
              </w:rPr>
              <w:t xml:space="preserve"> организациями  </w:t>
            </w:r>
          </w:p>
        </w:tc>
        <w:tc>
          <w:tcPr>
            <w:tcW w:w="1224" w:type="dxa"/>
          </w:tcPr>
          <w:p w:rsidR="00564EEE" w:rsidRPr="00564EEE" w:rsidRDefault="00564EEE">
            <w:pPr>
              <w:pStyle w:val="ConsPlusNonformat"/>
              <w:jc w:val="both"/>
            </w:pPr>
            <w:r w:rsidRPr="00564EEE">
              <w:rPr>
                <w:sz w:val="12"/>
              </w:rPr>
              <w:lastRenderedPageBreak/>
              <w:t xml:space="preserve">  Разработка   </w:t>
            </w:r>
          </w:p>
          <w:p w:rsidR="00564EEE" w:rsidRPr="00564EEE" w:rsidRDefault="00564EEE">
            <w:pPr>
              <w:pStyle w:val="ConsPlusNonformat"/>
              <w:jc w:val="both"/>
            </w:pPr>
            <w:r w:rsidRPr="00564EEE">
              <w:rPr>
                <w:sz w:val="12"/>
              </w:rPr>
              <w:lastRenderedPageBreak/>
              <w:t xml:space="preserve">  закупочной   </w:t>
            </w:r>
          </w:p>
          <w:p w:rsidR="00564EEE" w:rsidRPr="00564EEE" w:rsidRDefault="00564EEE">
            <w:pPr>
              <w:pStyle w:val="ConsPlusNonformat"/>
              <w:jc w:val="both"/>
            </w:pPr>
            <w:r w:rsidRPr="00564EEE">
              <w:rPr>
                <w:sz w:val="12"/>
              </w:rPr>
              <w:t xml:space="preserve">документации </w:t>
            </w:r>
            <w:proofErr w:type="gramStart"/>
            <w:r w:rsidRPr="00564EEE">
              <w:rPr>
                <w:sz w:val="12"/>
              </w:rPr>
              <w:t>на</w:t>
            </w:r>
            <w:proofErr w:type="gramEnd"/>
          </w:p>
          <w:p w:rsidR="00564EEE" w:rsidRPr="00564EEE" w:rsidRDefault="00564EEE">
            <w:pPr>
              <w:pStyle w:val="ConsPlusNonformat"/>
              <w:jc w:val="both"/>
            </w:pPr>
            <w:r w:rsidRPr="00564EEE">
              <w:rPr>
                <w:sz w:val="12"/>
              </w:rPr>
              <w:t xml:space="preserve">строительство, </w:t>
            </w:r>
          </w:p>
          <w:p w:rsidR="00564EEE" w:rsidRPr="00564EEE" w:rsidRDefault="00564EEE">
            <w:pPr>
              <w:pStyle w:val="ConsPlusNonformat"/>
              <w:jc w:val="both"/>
            </w:pPr>
            <w:r w:rsidRPr="00564EEE">
              <w:rPr>
                <w:sz w:val="12"/>
              </w:rPr>
              <w:t xml:space="preserve">  проведение   </w:t>
            </w:r>
          </w:p>
          <w:p w:rsidR="00564EEE" w:rsidRPr="00564EEE" w:rsidRDefault="00564EEE">
            <w:pPr>
              <w:pStyle w:val="ConsPlusNonformat"/>
              <w:jc w:val="both"/>
            </w:pPr>
            <w:r w:rsidRPr="00564EEE">
              <w:rPr>
                <w:sz w:val="12"/>
              </w:rPr>
              <w:t xml:space="preserve">  закупочных   </w:t>
            </w:r>
          </w:p>
          <w:p w:rsidR="00564EEE" w:rsidRPr="00564EEE" w:rsidRDefault="00564EEE">
            <w:pPr>
              <w:pStyle w:val="ConsPlusNonformat"/>
              <w:jc w:val="both"/>
            </w:pPr>
            <w:r w:rsidRPr="00564EEE">
              <w:rPr>
                <w:sz w:val="12"/>
              </w:rPr>
              <w:t xml:space="preserve">  процедур </w:t>
            </w:r>
            <w:proofErr w:type="gramStart"/>
            <w:r w:rsidRPr="00564EEE">
              <w:rPr>
                <w:sz w:val="12"/>
              </w:rPr>
              <w:t>на</w:t>
            </w:r>
            <w:proofErr w:type="gramEnd"/>
            <w:r w:rsidRPr="00564EEE">
              <w:rPr>
                <w:sz w:val="12"/>
              </w:rPr>
              <w:t xml:space="preserve">  </w:t>
            </w:r>
          </w:p>
          <w:p w:rsidR="00564EEE" w:rsidRPr="00564EEE" w:rsidRDefault="00564EEE">
            <w:pPr>
              <w:pStyle w:val="ConsPlusNonformat"/>
              <w:jc w:val="both"/>
            </w:pPr>
            <w:r w:rsidRPr="00564EEE">
              <w:rPr>
                <w:sz w:val="12"/>
              </w:rPr>
              <w:t xml:space="preserve"> строительство </w:t>
            </w:r>
          </w:p>
        </w:tc>
        <w:tc>
          <w:tcPr>
            <w:tcW w:w="1080" w:type="dxa"/>
          </w:tcPr>
          <w:p w:rsidR="00564EEE" w:rsidRPr="00564EEE" w:rsidRDefault="00564EEE">
            <w:pPr>
              <w:pStyle w:val="ConsPlusNonformat"/>
              <w:jc w:val="both"/>
            </w:pPr>
            <w:r w:rsidRPr="00564EEE">
              <w:rPr>
                <w:sz w:val="12"/>
              </w:rPr>
              <w:lastRenderedPageBreak/>
              <w:t>Строительство</w:t>
            </w:r>
          </w:p>
          <w:p w:rsidR="00564EEE" w:rsidRPr="00564EEE" w:rsidRDefault="00564EEE">
            <w:pPr>
              <w:pStyle w:val="ConsPlusNonformat"/>
              <w:jc w:val="both"/>
            </w:pPr>
            <w:r w:rsidRPr="00564EEE">
              <w:rPr>
                <w:sz w:val="12"/>
              </w:rPr>
              <w:lastRenderedPageBreak/>
              <w:t xml:space="preserve"> объекта &lt;*&gt;</w:t>
            </w:r>
          </w:p>
        </w:tc>
        <w:tc>
          <w:tcPr>
            <w:tcW w:w="1440" w:type="dxa"/>
          </w:tcPr>
          <w:p w:rsidR="00564EEE" w:rsidRPr="00564EEE" w:rsidRDefault="00564EEE">
            <w:pPr>
              <w:pStyle w:val="ConsPlusNonformat"/>
              <w:jc w:val="both"/>
            </w:pPr>
            <w:r w:rsidRPr="00564EEE">
              <w:rPr>
                <w:sz w:val="12"/>
              </w:rPr>
              <w:lastRenderedPageBreak/>
              <w:t xml:space="preserve">    Общий срок    </w:t>
            </w:r>
          </w:p>
          <w:p w:rsidR="00564EEE" w:rsidRPr="00564EEE" w:rsidRDefault="00564EEE">
            <w:pPr>
              <w:pStyle w:val="ConsPlusNonformat"/>
              <w:jc w:val="both"/>
            </w:pPr>
            <w:r w:rsidRPr="00564EEE">
              <w:rPr>
                <w:sz w:val="12"/>
              </w:rPr>
              <w:lastRenderedPageBreak/>
              <w:t xml:space="preserve"> выполнения работ </w:t>
            </w:r>
          </w:p>
          <w:p w:rsidR="00564EEE" w:rsidRPr="00564EEE" w:rsidRDefault="00564EEE">
            <w:pPr>
              <w:pStyle w:val="ConsPlusNonformat"/>
              <w:jc w:val="both"/>
            </w:pPr>
            <w:r w:rsidRPr="00564EEE">
              <w:rPr>
                <w:sz w:val="12"/>
              </w:rPr>
              <w:t xml:space="preserve">по проектированию </w:t>
            </w:r>
          </w:p>
          <w:p w:rsidR="00564EEE" w:rsidRPr="00564EEE" w:rsidRDefault="00564EEE">
            <w:pPr>
              <w:pStyle w:val="ConsPlusNonformat"/>
              <w:jc w:val="both"/>
            </w:pPr>
            <w:r w:rsidRPr="00564EEE">
              <w:rPr>
                <w:sz w:val="12"/>
              </w:rPr>
              <w:t xml:space="preserve"> и строительству  </w:t>
            </w:r>
          </w:p>
          <w:p w:rsidR="00564EEE" w:rsidRPr="00564EEE" w:rsidRDefault="00564EEE">
            <w:pPr>
              <w:pStyle w:val="ConsPlusNonformat"/>
              <w:jc w:val="both"/>
            </w:pPr>
            <w:r w:rsidRPr="00564EEE">
              <w:rPr>
                <w:sz w:val="12"/>
              </w:rPr>
              <w:t xml:space="preserve">     объекта      </w:t>
            </w:r>
          </w:p>
        </w:tc>
      </w:tr>
      <w:tr w:rsidR="00564EEE" w:rsidRPr="00564EEE">
        <w:trPr>
          <w:trHeight w:val="140"/>
        </w:trPr>
        <w:tc>
          <w:tcPr>
            <w:tcW w:w="1800" w:type="dxa"/>
            <w:tcBorders>
              <w:top w:val="nil"/>
            </w:tcBorders>
          </w:tcPr>
          <w:p w:rsidR="00564EEE" w:rsidRPr="00564EEE" w:rsidRDefault="00564EEE">
            <w:pPr>
              <w:pStyle w:val="ConsPlusNonformat"/>
              <w:jc w:val="both"/>
            </w:pPr>
            <w:proofErr w:type="gramStart"/>
            <w:r w:rsidRPr="00564EEE">
              <w:rPr>
                <w:sz w:val="12"/>
              </w:rPr>
              <w:lastRenderedPageBreak/>
              <w:t>ВЛ</w:t>
            </w:r>
            <w:proofErr w:type="gramEnd"/>
            <w:r w:rsidRPr="00564EEE">
              <w:rPr>
                <w:sz w:val="12"/>
              </w:rPr>
              <w:t xml:space="preserve"> 500 </w:t>
            </w:r>
            <w:proofErr w:type="spellStart"/>
            <w:r w:rsidRPr="00564EEE">
              <w:rPr>
                <w:sz w:val="12"/>
              </w:rPr>
              <w:t>кВ</w:t>
            </w:r>
            <w:proofErr w:type="spellEnd"/>
            <w:r w:rsidRPr="00564EEE">
              <w:rPr>
                <w:sz w:val="12"/>
              </w:rPr>
              <w:t xml:space="preserve"> до 100 км    </w:t>
            </w:r>
          </w:p>
        </w:tc>
        <w:tc>
          <w:tcPr>
            <w:tcW w:w="1512" w:type="dxa"/>
            <w:tcBorders>
              <w:top w:val="nil"/>
            </w:tcBorders>
          </w:tcPr>
          <w:p w:rsidR="00564EEE" w:rsidRPr="00564EEE" w:rsidRDefault="00564EEE">
            <w:pPr>
              <w:pStyle w:val="ConsPlusNonformat"/>
              <w:jc w:val="both"/>
            </w:pPr>
            <w:r w:rsidRPr="00564EEE">
              <w:rPr>
                <w:sz w:val="12"/>
              </w:rPr>
              <w:t xml:space="preserve">         5         </w:t>
            </w:r>
          </w:p>
        </w:tc>
        <w:tc>
          <w:tcPr>
            <w:tcW w:w="1008" w:type="dxa"/>
            <w:tcBorders>
              <w:top w:val="nil"/>
            </w:tcBorders>
          </w:tcPr>
          <w:p w:rsidR="00564EEE" w:rsidRPr="00564EEE" w:rsidRDefault="00564EEE">
            <w:pPr>
              <w:pStyle w:val="ConsPlusNonformat"/>
              <w:jc w:val="both"/>
            </w:pPr>
            <w:r w:rsidRPr="00564EEE">
              <w:rPr>
                <w:sz w:val="12"/>
              </w:rPr>
              <w:t xml:space="preserve">     3      </w:t>
            </w:r>
          </w:p>
        </w:tc>
        <w:tc>
          <w:tcPr>
            <w:tcW w:w="1296" w:type="dxa"/>
            <w:tcBorders>
              <w:top w:val="nil"/>
            </w:tcBorders>
          </w:tcPr>
          <w:p w:rsidR="00564EEE" w:rsidRPr="00564EEE" w:rsidRDefault="00564EEE">
            <w:pPr>
              <w:pStyle w:val="ConsPlusNonformat"/>
              <w:jc w:val="both"/>
            </w:pPr>
            <w:r w:rsidRPr="00564EEE">
              <w:rPr>
                <w:sz w:val="12"/>
              </w:rPr>
              <w:t xml:space="preserve">       2        </w:t>
            </w:r>
          </w:p>
        </w:tc>
        <w:tc>
          <w:tcPr>
            <w:tcW w:w="1224" w:type="dxa"/>
            <w:tcBorders>
              <w:top w:val="nil"/>
            </w:tcBorders>
          </w:tcPr>
          <w:p w:rsidR="00564EEE" w:rsidRPr="00564EEE" w:rsidRDefault="00564EEE">
            <w:pPr>
              <w:pStyle w:val="ConsPlusNonformat"/>
              <w:jc w:val="both"/>
            </w:pPr>
            <w:r w:rsidRPr="00564EEE">
              <w:rPr>
                <w:sz w:val="12"/>
              </w:rPr>
              <w:t xml:space="preserve">      10       </w:t>
            </w:r>
          </w:p>
        </w:tc>
        <w:tc>
          <w:tcPr>
            <w:tcW w:w="1080" w:type="dxa"/>
            <w:tcBorders>
              <w:top w:val="nil"/>
            </w:tcBorders>
          </w:tcPr>
          <w:p w:rsidR="00564EEE" w:rsidRPr="00564EEE" w:rsidRDefault="00564EEE">
            <w:pPr>
              <w:pStyle w:val="ConsPlusNonformat"/>
              <w:jc w:val="both"/>
            </w:pPr>
            <w:r w:rsidRPr="00564EEE">
              <w:rPr>
                <w:sz w:val="12"/>
              </w:rPr>
              <w:t xml:space="preserve">     12      </w:t>
            </w:r>
          </w:p>
        </w:tc>
        <w:tc>
          <w:tcPr>
            <w:tcW w:w="1440" w:type="dxa"/>
            <w:tcBorders>
              <w:top w:val="nil"/>
            </w:tcBorders>
          </w:tcPr>
          <w:p w:rsidR="00564EEE" w:rsidRPr="00564EEE" w:rsidRDefault="00564EEE">
            <w:pPr>
              <w:pStyle w:val="ConsPlusNonformat"/>
              <w:jc w:val="both"/>
            </w:pPr>
            <w:r w:rsidRPr="00564EEE">
              <w:rPr>
                <w:sz w:val="12"/>
              </w:rPr>
              <w:t xml:space="preserve">        32        </w:t>
            </w:r>
          </w:p>
        </w:tc>
      </w:tr>
      <w:tr w:rsidR="00564EEE" w:rsidRPr="00564EEE">
        <w:trPr>
          <w:trHeight w:val="140"/>
        </w:trPr>
        <w:tc>
          <w:tcPr>
            <w:tcW w:w="1800" w:type="dxa"/>
            <w:tcBorders>
              <w:top w:val="nil"/>
            </w:tcBorders>
          </w:tcPr>
          <w:p w:rsidR="00564EEE" w:rsidRPr="00564EEE" w:rsidRDefault="00564EEE">
            <w:pPr>
              <w:pStyle w:val="ConsPlusNonformat"/>
              <w:jc w:val="both"/>
            </w:pPr>
            <w:proofErr w:type="gramStart"/>
            <w:r w:rsidRPr="00564EEE">
              <w:rPr>
                <w:sz w:val="12"/>
              </w:rPr>
              <w:t>ВЛ</w:t>
            </w:r>
            <w:proofErr w:type="gramEnd"/>
            <w:r w:rsidRPr="00564EEE">
              <w:rPr>
                <w:sz w:val="12"/>
              </w:rPr>
              <w:t xml:space="preserve"> 500 </w:t>
            </w:r>
            <w:proofErr w:type="spellStart"/>
            <w:r w:rsidRPr="00564EEE">
              <w:rPr>
                <w:sz w:val="12"/>
              </w:rPr>
              <w:t>кВ</w:t>
            </w:r>
            <w:proofErr w:type="spellEnd"/>
            <w:r w:rsidRPr="00564EEE">
              <w:rPr>
                <w:sz w:val="12"/>
              </w:rPr>
              <w:t xml:space="preserve"> 100 - 300 км </w:t>
            </w:r>
          </w:p>
        </w:tc>
        <w:tc>
          <w:tcPr>
            <w:tcW w:w="1512" w:type="dxa"/>
            <w:tcBorders>
              <w:top w:val="nil"/>
            </w:tcBorders>
          </w:tcPr>
          <w:p w:rsidR="00564EEE" w:rsidRPr="00564EEE" w:rsidRDefault="00564EEE">
            <w:pPr>
              <w:pStyle w:val="ConsPlusNonformat"/>
              <w:jc w:val="both"/>
            </w:pPr>
            <w:r w:rsidRPr="00564EEE">
              <w:rPr>
                <w:sz w:val="12"/>
              </w:rPr>
              <w:t xml:space="preserve">         5         </w:t>
            </w:r>
          </w:p>
        </w:tc>
        <w:tc>
          <w:tcPr>
            <w:tcW w:w="1008" w:type="dxa"/>
            <w:tcBorders>
              <w:top w:val="nil"/>
            </w:tcBorders>
          </w:tcPr>
          <w:p w:rsidR="00564EEE" w:rsidRPr="00564EEE" w:rsidRDefault="00564EEE">
            <w:pPr>
              <w:pStyle w:val="ConsPlusNonformat"/>
              <w:jc w:val="both"/>
            </w:pPr>
            <w:r w:rsidRPr="00564EEE">
              <w:rPr>
                <w:sz w:val="12"/>
              </w:rPr>
              <w:t xml:space="preserve">     3      </w:t>
            </w:r>
          </w:p>
        </w:tc>
        <w:tc>
          <w:tcPr>
            <w:tcW w:w="1296" w:type="dxa"/>
            <w:tcBorders>
              <w:top w:val="nil"/>
            </w:tcBorders>
          </w:tcPr>
          <w:p w:rsidR="00564EEE" w:rsidRPr="00564EEE" w:rsidRDefault="00564EEE">
            <w:pPr>
              <w:pStyle w:val="ConsPlusNonformat"/>
              <w:jc w:val="both"/>
            </w:pPr>
            <w:r w:rsidRPr="00564EEE">
              <w:rPr>
                <w:sz w:val="12"/>
              </w:rPr>
              <w:t xml:space="preserve">       2        </w:t>
            </w:r>
          </w:p>
        </w:tc>
        <w:tc>
          <w:tcPr>
            <w:tcW w:w="1224" w:type="dxa"/>
            <w:tcBorders>
              <w:top w:val="nil"/>
            </w:tcBorders>
          </w:tcPr>
          <w:p w:rsidR="00564EEE" w:rsidRPr="00564EEE" w:rsidRDefault="00564EEE">
            <w:pPr>
              <w:pStyle w:val="ConsPlusNonformat"/>
              <w:jc w:val="both"/>
            </w:pPr>
            <w:r w:rsidRPr="00564EEE">
              <w:rPr>
                <w:sz w:val="12"/>
              </w:rPr>
              <w:t xml:space="preserve">      10       </w:t>
            </w:r>
          </w:p>
        </w:tc>
        <w:tc>
          <w:tcPr>
            <w:tcW w:w="1080" w:type="dxa"/>
            <w:tcBorders>
              <w:top w:val="nil"/>
            </w:tcBorders>
          </w:tcPr>
          <w:p w:rsidR="00564EEE" w:rsidRPr="00564EEE" w:rsidRDefault="00564EEE">
            <w:pPr>
              <w:pStyle w:val="ConsPlusNonformat"/>
              <w:jc w:val="both"/>
            </w:pPr>
            <w:r w:rsidRPr="00564EEE">
              <w:rPr>
                <w:sz w:val="12"/>
              </w:rPr>
              <w:t xml:space="preserve">     22      </w:t>
            </w:r>
          </w:p>
        </w:tc>
        <w:tc>
          <w:tcPr>
            <w:tcW w:w="1440" w:type="dxa"/>
            <w:tcBorders>
              <w:top w:val="nil"/>
            </w:tcBorders>
          </w:tcPr>
          <w:p w:rsidR="00564EEE" w:rsidRPr="00564EEE" w:rsidRDefault="00564EEE">
            <w:pPr>
              <w:pStyle w:val="ConsPlusNonformat"/>
              <w:jc w:val="both"/>
            </w:pPr>
            <w:r w:rsidRPr="00564EEE">
              <w:rPr>
                <w:sz w:val="12"/>
              </w:rPr>
              <w:t xml:space="preserve">        42        </w:t>
            </w:r>
          </w:p>
        </w:tc>
      </w:tr>
      <w:tr w:rsidR="00564EEE" w:rsidRPr="00564EEE">
        <w:trPr>
          <w:trHeight w:val="140"/>
        </w:trPr>
        <w:tc>
          <w:tcPr>
            <w:tcW w:w="1800" w:type="dxa"/>
            <w:tcBorders>
              <w:top w:val="nil"/>
            </w:tcBorders>
          </w:tcPr>
          <w:p w:rsidR="00564EEE" w:rsidRPr="00564EEE" w:rsidRDefault="00564EEE">
            <w:pPr>
              <w:pStyle w:val="ConsPlusNonformat"/>
              <w:jc w:val="both"/>
            </w:pPr>
            <w:proofErr w:type="gramStart"/>
            <w:r w:rsidRPr="00564EEE">
              <w:rPr>
                <w:sz w:val="12"/>
              </w:rPr>
              <w:t>ВЛ</w:t>
            </w:r>
            <w:proofErr w:type="gramEnd"/>
            <w:r w:rsidRPr="00564EEE">
              <w:rPr>
                <w:sz w:val="12"/>
              </w:rPr>
              <w:t xml:space="preserve"> 500 </w:t>
            </w:r>
            <w:proofErr w:type="spellStart"/>
            <w:r w:rsidRPr="00564EEE">
              <w:rPr>
                <w:sz w:val="12"/>
              </w:rPr>
              <w:t>кВ</w:t>
            </w:r>
            <w:proofErr w:type="spellEnd"/>
            <w:r w:rsidRPr="00564EEE">
              <w:rPr>
                <w:sz w:val="12"/>
              </w:rPr>
              <w:t xml:space="preserve"> 300 - 400 км </w:t>
            </w:r>
          </w:p>
        </w:tc>
        <w:tc>
          <w:tcPr>
            <w:tcW w:w="1512" w:type="dxa"/>
            <w:tcBorders>
              <w:top w:val="nil"/>
            </w:tcBorders>
          </w:tcPr>
          <w:p w:rsidR="00564EEE" w:rsidRPr="00564EEE" w:rsidRDefault="00564EEE">
            <w:pPr>
              <w:pStyle w:val="ConsPlusNonformat"/>
              <w:jc w:val="both"/>
            </w:pPr>
            <w:r w:rsidRPr="00564EEE">
              <w:rPr>
                <w:sz w:val="12"/>
              </w:rPr>
              <w:t xml:space="preserve">         5         </w:t>
            </w:r>
          </w:p>
        </w:tc>
        <w:tc>
          <w:tcPr>
            <w:tcW w:w="1008" w:type="dxa"/>
            <w:tcBorders>
              <w:top w:val="nil"/>
            </w:tcBorders>
          </w:tcPr>
          <w:p w:rsidR="00564EEE" w:rsidRPr="00564EEE" w:rsidRDefault="00564EEE">
            <w:pPr>
              <w:pStyle w:val="ConsPlusNonformat"/>
              <w:jc w:val="both"/>
            </w:pPr>
            <w:r w:rsidRPr="00564EEE">
              <w:rPr>
                <w:sz w:val="12"/>
              </w:rPr>
              <w:t xml:space="preserve">     3      </w:t>
            </w:r>
          </w:p>
        </w:tc>
        <w:tc>
          <w:tcPr>
            <w:tcW w:w="1296" w:type="dxa"/>
            <w:tcBorders>
              <w:top w:val="nil"/>
            </w:tcBorders>
          </w:tcPr>
          <w:p w:rsidR="00564EEE" w:rsidRPr="00564EEE" w:rsidRDefault="00564EEE">
            <w:pPr>
              <w:pStyle w:val="ConsPlusNonformat"/>
              <w:jc w:val="both"/>
            </w:pPr>
            <w:r w:rsidRPr="00564EEE">
              <w:rPr>
                <w:sz w:val="12"/>
              </w:rPr>
              <w:t xml:space="preserve">       2        </w:t>
            </w:r>
          </w:p>
        </w:tc>
        <w:tc>
          <w:tcPr>
            <w:tcW w:w="1224" w:type="dxa"/>
            <w:tcBorders>
              <w:top w:val="nil"/>
            </w:tcBorders>
          </w:tcPr>
          <w:p w:rsidR="00564EEE" w:rsidRPr="00564EEE" w:rsidRDefault="00564EEE">
            <w:pPr>
              <w:pStyle w:val="ConsPlusNonformat"/>
              <w:jc w:val="both"/>
            </w:pPr>
            <w:r w:rsidRPr="00564EEE">
              <w:rPr>
                <w:sz w:val="12"/>
              </w:rPr>
              <w:t xml:space="preserve">      10       </w:t>
            </w:r>
          </w:p>
        </w:tc>
        <w:tc>
          <w:tcPr>
            <w:tcW w:w="1080" w:type="dxa"/>
            <w:tcBorders>
              <w:top w:val="nil"/>
            </w:tcBorders>
          </w:tcPr>
          <w:p w:rsidR="00564EEE" w:rsidRPr="00564EEE" w:rsidRDefault="00564EEE">
            <w:pPr>
              <w:pStyle w:val="ConsPlusNonformat"/>
              <w:jc w:val="both"/>
            </w:pPr>
            <w:r w:rsidRPr="00564EEE">
              <w:rPr>
                <w:sz w:val="12"/>
              </w:rPr>
              <w:t xml:space="preserve">     30      </w:t>
            </w:r>
          </w:p>
        </w:tc>
        <w:tc>
          <w:tcPr>
            <w:tcW w:w="1440" w:type="dxa"/>
            <w:tcBorders>
              <w:top w:val="nil"/>
            </w:tcBorders>
          </w:tcPr>
          <w:p w:rsidR="00564EEE" w:rsidRPr="00564EEE" w:rsidRDefault="00564EEE">
            <w:pPr>
              <w:pStyle w:val="ConsPlusNonformat"/>
              <w:jc w:val="both"/>
            </w:pPr>
            <w:r w:rsidRPr="00564EEE">
              <w:rPr>
                <w:sz w:val="12"/>
              </w:rPr>
              <w:t xml:space="preserve">        50        </w:t>
            </w:r>
          </w:p>
        </w:tc>
      </w:tr>
      <w:tr w:rsidR="00564EEE" w:rsidRPr="00564EEE">
        <w:trPr>
          <w:trHeight w:val="140"/>
        </w:trPr>
        <w:tc>
          <w:tcPr>
            <w:tcW w:w="1800" w:type="dxa"/>
            <w:tcBorders>
              <w:top w:val="nil"/>
            </w:tcBorders>
          </w:tcPr>
          <w:p w:rsidR="00564EEE" w:rsidRPr="00564EEE" w:rsidRDefault="00564EEE">
            <w:pPr>
              <w:pStyle w:val="ConsPlusNonformat"/>
              <w:jc w:val="both"/>
            </w:pPr>
            <w:proofErr w:type="gramStart"/>
            <w:r w:rsidRPr="00564EEE">
              <w:rPr>
                <w:sz w:val="12"/>
              </w:rPr>
              <w:t>ВЛ</w:t>
            </w:r>
            <w:proofErr w:type="gramEnd"/>
            <w:r w:rsidRPr="00564EEE">
              <w:rPr>
                <w:sz w:val="12"/>
              </w:rPr>
              <w:t xml:space="preserve"> 500 </w:t>
            </w:r>
            <w:proofErr w:type="spellStart"/>
            <w:r w:rsidRPr="00564EEE">
              <w:rPr>
                <w:sz w:val="12"/>
              </w:rPr>
              <w:t>кВ</w:t>
            </w:r>
            <w:proofErr w:type="spellEnd"/>
            <w:r w:rsidRPr="00564EEE">
              <w:rPr>
                <w:sz w:val="12"/>
              </w:rPr>
              <w:t xml:space="preserve"> свыше 400 км </w:t>
            </w:r>
          </w:p>
        </w:tc>
        <w:tc>
          <w:tcPr>
            <w:tcW w:w="1512" w:type="dxa"/>
            <w:tcBorders>
              <w:top w:val="nil"/>
            </w:tcBorders>
          </w:tcPr>
          <w:p w:rsidR="00564EEE" w:rsidRPr="00564EEE" w:rsidRDefault="00564EEE">
            <w:pPr>
              <w:pStyle w:val="ConsPlusNonformat"/>
              <w:jc w:val="both"/>
            </w:pPr>
            <w:r w:rsidRPr="00564EEE">
              <w:rPr>
                <w:sz w:val="12"/>
              </w:rPr>
              <w:t xml:space="preserve">         5         </w:t>
            </w:r>
          </w:p>
        </w:tc>
        <w:tc>
          <w:tcPr>
            <w:tcW w:w="1008" w:type="dxa"/>
            <w:tcBorders>
              <w:top w:val="nil"/>
            </w:tcBorders>
          </w:tcPr>
          <w:p w:rsidR="00564EEE" w:rsidRPr="00564EEE" w:rsidRDefault="00564EEE">
            <w:pPr>
              <w:pStyle w:val="ConsPlusNonformat"/>
              <w:jc w:val="both"/>
            </w:pPr>
            <w:r w:rsidRPr="00564EEE">
              <w:rPr>
                <w:sz w:val="12"/>
              </w:rPr>
              <w:t xml:space="preserve">     3      </w:t>
            </w:r>
          </w:p>
        </w:tc>
        <w:tc>
          <w:tcPr>
            <w:tcW w:w="1296" w:type="dxa"/>
            <w:tcBorders>
              <w:top w:val="nil"/>
            </w:tcBorders>
          </w:tcPr>
          <w:p w:rsidR="00564EEE" w:rsidRPr="00564EEE" w:rsidRDefault="00564EEE">
            <w:pPr>
              <w:pStyle w:val="ConsPlusNonformat"/>
              <w:jc w:val="both"/>
            </w:pPr>
            <w:r w:rsidRPr="00564EEE">
              <w:rPr>
                <w:sz w:val="12"/>
              </w:rPr>
              <w:t xml:space="preserve">       2        </w:t>
            </w:r>
          </w:p>
        </w:tc>
        <w:tc>
          <w:tcPr>
            <w:tcW w:w="1224" w:type="dxa"/>
            <w:tcBorders>
              <w:top w:val="nil"/>
            </w:tcBorders>
          </w:tcPr>
          <w:p w:rsidR="00564EEE" w:rsidRPr="00564EEE" w:rsidRDefault="00564EEE">
            <w:pPr>
              <w:pStyle w:val="ConsPlusNonformat"/>
              <w:jc w:val="both"/>
            </w:pPr>
            <w:r w:rsidRPr="00564EEE">
              <w:rPr>
                <w:sz w:val="12"/>
              </w:rPr>
              <w:t xml:space="preserve">      10       </w:t>
            </w:r>
          </w:p>
        </w:tc>
        <w:tc>
          <w:tcPr>
            <w:tcW w:w="1080" w:type="dxa"/>
            <w:tcBorders>
              <w:top w:val="nil"/>
            </w:tcBorders>
          </w:tcPr>
          <w:p w:rsidR="00564EEE" w:rsidRPr="00564EEE" w:rsidRDefault="00564EEE">
            <w:pPr>
              <w:pStyle w:val="ConsPlusNonformat"/>
              <w:jc w:val="both"/>
            </w:pPr>
            <w:r w:rsidRPr="00564EEE">
              <w:rPr>
                <w:sz w:val="12"/>
              </w:rPr>
              <w:t xml:space="preserve">     36      </w:t>
            </w:r>
          </w:p>
        </w:tc>
        <w:tc>
          <w:tcPr>
            <w:tcW w:w="1440" w:type="dxa"/>
            <w:tcBorders>
              <w:top w:val="nil"/>
            </w:tcBorders>
          </w:tcPr>
          <w:p w:rsidR="00564EEE" w:rsidRPr="00564EEE" w:rsidRDefault="00564EEE">
            <w:pPr>
              <w:pStyle w:val="ConsPlusNonformat"/>
              <w:jc w:val="both"/>
            </w:pPr>
            <w:r w:rsidRPr="00564EEE">
              <w:rPr>
                <w:sz w:val="12"/>
              </w:rPr>
              <w:t xml:space="preserve">        56        </w:t>
            </w:r>
          </w:p>
        </w:tc>
      </w:tr>
      <w:tr w:rsidR="00564EEE" w:rsidRPr="00564EEE">
        <w:trPr>
          <w:trHeight w:val="140"/>
        </w:trPr>
        <w:tc>
          <w:tcPr>
            <w:tcW w:w="1800" w:type="dxa"/>
            <w:tcBorders>
              <w:top w:val="nil"/>
            </w:tcBorders>
          </w:tcPr>
          <w:p w:rsidR="00564EEE" w:rsidRPr="00564EEE" w:rsidRDefault="00564EEE">
            <w:pPr>
              <w:pStyle w:val="ConsPlusNonformat"/>
              <w:jc w:val="both"/>
            </w:pPr>
            <w:proofErr w:type="gramStart"/>
            <w:r w:rsidRPr="00564EEE">
              <w:rPr>
                <w:sz w:val="12"/>
              </w:rPr>
              <w:t>ВЛ</w:t>
            </w:r>
            <w:proofErr w:type="gramEnd"/>
            <w:r w:rsidRPr="00564EEE">
              <w:rPr>
                <w:sz w:val="12"/>
              </w:rPr>
              <w:t xml:space="preserve"> 220 </w:t>
            </w:r>
            <w:proofErr w:type="spellStart"/>
            <w:r w:rsidRPr="00564EEE">
              <w:rPr>
                <w:sz w:val="12"/>
              </w:rPr>
              <w:t>кВ</w:t>
            </w:r>
            <w:proofErr w:type="spellEnd"/>
            <w:r w:rsidRPr="00564EEE">
              <w:rPr>
                <w:sz w:val="12"/>
              </w:rPr>
              <w:t xml:space="preserve"> до 50 км     </w:t>
            </w:r>
          </w:p>
        </w:tc>
        <w:tc>
          <w:tcPr>
            <w:tcW w:w="1512" w:type="dxa"/>
            <w:tcBorders>
              <w:top w:val="nil"/>
            </w:tcBorders>
          </w:tcPr>
          <w:p w:rsidR="00564EEE" w:rsidRPr="00564EEE" w:rsidRDefault="00564EEE">
            <w:pPr>
              <w:pStyle w:val="ConsPlusNonformat"/>
              <w:jc w:val="both"/>
            </w:pPr>
            <w:r w:rsidRPr="00564EEE">
              <w:rPr>
                <w:sz w:val="12"/>
              </w:rPr>
              <w:t xml:space="preserve">         3         </w:t>
            </w:r>
          </w:p>
        </w:tc>
        <w:tc>
          <w:tcPr>
            <w:tcW w:w="1008" w:type="dxa"/>
            <w:tcBorders>
              <w:top w:val="nil"/>
            </w:tcBorders>
          </w:tcPr>
          <w:p w:rsidR="00564EEE" w:rsidRPr="00564EEE" w:rsidRDefault="00564EEE">
            <w:pPr>
              <w:pStyle w:val="ConsPlusNonformat"/>
              <w:jc w:val="both"/>
            </w:pPr>
            <w:r w:rsidRPr="00564EEE">
              <w:rPr>
                <w:sz w:val="12"/>
              </w:rPr>
              <w:t xml:space="preserve">     3      </w:t>
            </w:r>
          </w:p>
        </w:tc>
        <w:tc>
          <w:tcPr>
            <w:tcW w:w="1296" w:type="dxa"/>
            <w:tcBorders>
              <w:top w:val="nil"/>
            </w:tcBorders>
          </w:tcPr>
          <w:p w:rsidR="00564EEE" w:rsidRPr="00564EEE" w:rsidRDefault="00564EEE">
            <w:pPr>
              <w:pStyle w:val="ConsPlusNonformat"/>
              <w:jc w:val="both"/>
            </w:pPr>
            <w:r w:rsidRPr="00564EEE">
              <w:rPr>
                <w:sz w:val="12"/>
              </w:rPr>
              <w:t xml:space="preserve">       2        </w:t>
            </w:r>
          </w:p>
        </w:tc>
        <w:tc>
          <w:tcPr>
            <w:tcW w:w="1224" w:type="dxa"/>
            <w:tcBorders>
              <w:top w:val="nil"/>
            </w:tcBorders>
          </w:tcPr>
          <w:p w:rsidR="00564EEE" w:rsidRPr="00564EEE" w:rsidRDefault="00564EEE">
            <w:pPr>
              <w:pStyle w:val="ConsPlusNonformat"/>
              <w:jc w:val="both"/>
            </w:pPr>
            <w:r w:rsidRPr="00564EEE">
              <w:rPr>
                <w:sz w:val="12"/>
              </w:rPr>
              <w:t xml:space="preserve">       9       </w:t>
            </w:r>
          </w:p>
        </w:tc>
        <w:tc>
          <w:tcPr>
            <w:tcW w:w="1080" w:type="dxa"/>
            <w:tcBorders>
              <w:top w:val="nil"/>
            </w:tcBorders>
          </w:tcPr>
          <w:p w:rsidR="00564EEE" w:rsidRPr="00564EEE" w:rsidRDefault="00564EEE">
            <w:pPr>
              <w:pStyle w:val="ConsPlusNonformat"/>
              <w:jc w:val="both"/>
            </w:pPr>
            <w:r w:rsidRPr="00564EEE">
              <w:rPr>
                <w:sz w:val="12"/>
              </w:rPr>
              <w:t xml:space="preserve">     10      </w:t>
            </w:r>
          </w:p>
        </w:tc>
        <w:tc>
          <w:tcPr>
            <w:tcW w:w="1440" w:type="dxa"/>
            <w:tcBorders>
              <w:top w:val="nil"/>
            </w:tcBorders>
          </w:tcPr>
          <w:p w:rsidR="00564EEE" w:rsidRPr="00564EEE" w:rsidRDefault="00564EEE">
            <w:pPr>
              <w:pStyle w:val="ConsPlusNonformat"/>
              <w:jc w:val="both"/>
            </w:pPr>
            <w:r w:rsidRPr="00564EEE">
              <w:rPr>
                <w:sz w:val="12"/>
              </w:rPr>
              <w:t xml:space="preserve">        27        </w:t>
            </w:r>
          </w:p>
        </w:tc>
      </w:tr>
      <w:tr w:rsidR="00564EEE" w:rsidRPr="00564EEE">
        <w:trPr>
          <w:trHeight w:val="140"/>
        </w:trPr>
        <w:tc>
          <w:tcPr>
            <w:tcW w:w="1800" w:type="dxa"/>
            <w:tcBorders>
              <w:top w:val="nil"/>
            </w:tcBorders>
          </w:tcPr>
          <w:p w:rsidR="00564EEE" w:rsidRPr="00564EEE" w:rsidRDefault="00564EEE">
            <w:pPr>
              <w:pStyle w:val="ConsPlusNonformat"/>
              <w:jc w:val="both"/>
            </w:pPr>
            <w:proofErr w:type="gramStart"/>
            <w:r w:rsidRPr="00564EEE">
              <w:rPr>
                <w:sz w:val="12"/>
              </w:rPr>
              <w:t>ВЛ</w:t>
            </w:r>
            <w:proofErr w:type="gramEnd"/>
            <w:r w:rsidRPr="00564EEE">
              <w:rPr>
                <w:sz w:val="12"/>
              </w:rPr>
              <w:t xml:space="preserve"> 220 </w:t>
            </w:r>
            <w:proofErr w:type="spellStart"/>
            <w:r w:rsidRPr="00564EEE">
              <w:rPr>
                <w:sz w:val="12"/>
              </w:rPr>
              <w:t>кВ</w:t>
            </w:r>
            <w:proofErr w:type="spellEnd"/>
            <w:r w:rsidRPr="00564EEE">
              <w:rPr>
                <w:sz w:val="12"/>
              </w:rPr>
              <w:t xml:space="preserve"> 50 - 100 км  </w:t>
            </w:r>
          </w:p>
        </w:tc>
        <w:tc>
          <w:tcPr>
            <w:tcW w:w="1512" w:type="dxa"/>
            <w:tcBorders>
              <w:top w:val="nil"/>
            </w:tcBorders>
          </w:tcPr>
          <w:p w:rsidR="00564EEE" w:rsidRPr="00564EEE" w:rsidRDefault="00564EEE">
            <w:pPr>
              <w:pStyle w:val="ConsPlusNonformat"/>
              <w:jc w:val="both"/>
            </w:pPr>
            <w:r w:rsidRPr="00564EEE">
              <w:rPr>
                <w:sz w:val="12"/>
              </w:rPr>
              <w:t xml:space="preserve">         3         </w:t>
            </w:r>
          </w:p>
        </w:tc>
        <w:tc>
          <w:tcPr>
            <w:tcW w:w="1008" w:type="dxa"/>
            <w:tcBorders>
              <w:top w:val="nil"/>
            </w:tcBorders>
          </w:tcPr>
          <w:p w:rsidR="00564EEE" w:rsidRPr="00564EEE" w:rsidRDefault="00564EEE">
            <w:pPr>
              <w:pStyle w:val="ConsPlusNonformat"/>
              <w:jc w:val="both"/>
            </w:pPr>
            <w:r w:rsidRPr="00564EEE">
              <w:rPr>
                <w:sz w:val="12"/>
              </w:rPr>
              <w:t xml:space="preserve">     3      </w:t>
            </w:r>
          </w:p>
        </w:tc>
        <w:tc>
          <w:tcPr>
            <w:tcW w:w="1296" w:type="dxa"/>
            <w:tcBorders>
              <w:top w:val="nil"/>
            </w:tcBorders>
          </w:tcPr>
          <w:p w:rsidR="00564EEE" w:rsidRPr="00564EEE" w:rsidRDefault="00564EEE">
            <w:pPr>
              <w:pStyle w:val="ConsPlusNonformat"/>
              <w:jc w:val="both"/>
            </w:pPr>
            <w:r w:rsidRPr="00564EEE">
              <w:rPr>
                <w:sz w:val="12"/>
              </w:rPr>
              <w:t xml:space="preserve">       2        </w:t>
            </w:r>
          </w:p>
        </w:tc>
        <w:tc>
          <w:tcPr>
            <w:tcW w:w="1224" w:type="dxa"/>
            <w:tcBorders>
              <w:top w:val="nil"/>
            </w:tcBorders>
          </w:tcPr>
          <w:p w:rsidR="00564EEE" w:rsidRPr="00564EEE" w:rsidRDefault="00564EEE">
            <w:pPr>
              <w:pStyle w:val="ConsPlusNonformat"/>
              <w:jc w:val="both"/>
            </w:pPr>
            <w:r w:rsidRPr="00564EEE">
              <w:rPr>
                <w:sz w:val="12"/>
              </w:rPr>
              <w:t xml:space="preserve">       9       </w:t>
            </w:r>
          </w:p>
        </w:tc>
        <w:tc>
          <w:tcPr>
            <w:tcW w:w="1080" w:type="dxa"/>
            <w:tcBorders>
              <w:top w:val="nil"/>
            </w:tcBorders>
          </w:tcPr>
          <w:p w:rsidR="00564EEE" w:rsidRPr="00564EEE" w:rsidRDefault="00564EEE">
            <w:pPr>
              <w:pStyle w:val="ConsPlusNonformat"/>
              <w:jc w:val="both"/>
            </w:pPr>
            <w:r w:rsidRPr="00564EEE">
              <w:rPr>
                <w:sz w:val="12"/>
              </w:rPr>
              <w:t xml:space="preserve">     15      </w:t>
            </w:r>
          </w:p>
        </w:tc>
        <w:tc>
          <w:tcPr>
            <w:tcW w:w="1440" w:type="dxa"/>
            <w:tcBorders>
              <w:top w:val="nil"/>
            </w:tcBorders>
          </w:tcPr>
          <w:p w:rsidR="00564EEE" w:rsidRPr="00564EEE" w:rsidRDefault="00564EEE">
            <w:pPr>
              <w:pStyle w:val="ConsPlusNonformat"/>
              <w:jc w:val="both"/>
            </w:pPr>
            <w:r w:rsidRPr="00564EEE">
              <w:rPr>
                <w:sz w:val="12"/>
              </w:rPr>
              <w:t xml:space="preserve">        32        </w:t>
            </w:r>
          </w:p>
        </w:tc>
      </w:tr>
      <w:tr w:rsidR="00564EEE" w:rsidRPr="00564EEE">
        <w:trPr>
          <w:trHeight w:val="140"/>
        </w:trPr>
        <w:tc>
          <w:tcPr>
            <w:tcW w:w="1800" w:type="dxa"/>
            <w:tcBorders>
              <w:top w:val="nil"/>
            </w:tcBorders>
          </w:tcPr>
          <w:p w:rsidR="00564EEE" w:rsidRPr="00564EEE" w:rsidRDefault="00564EEE">
            <w:pPr>
              <w:pStyle w:val="ConsPlusNonformat"/>
              <w:jc w:val="both"/>
            </w:pPr>
            <w:proofErr w:type="gramStart"/>
            <w:r w:rsidRPr="00564EEE">
              <w:rPr>
                <w:sz w:val="12"/>
              </w:rPr>
              <w:t>ВЛ</w:t>
            </w:r>
            <w:proofErr w:type="gramEnd"/>
            <w:r w:rsidRPr="00564EEE">
              <w:rPr>
                <w:sz w:val="12"/>
              </w:rPr>
              <w:t xml:space="preserve"> 220 </w:t>
            </w:r>
            <w:proofErr w:type="spellStart"/>
            <w:r w:rsidRPr="00564EEE">
              <w:rPr>
                <w:sz w:val="12"/>
              </w:rPr>
              <w:t>кВ</w:t>
            </w:r>
            <w:proofErr w:type="spellEnd"/>
            <w:r w:rsidRPr="00564EEE">
              <w:rPr>
                <w:sz w:val="12"/>
              </w:rPr>
              <w:t xml:space="preserve"> 100 - 200 км </w:t>
            </w:r>
          </w:p>
        </w:tc>
        <w:tc>
          <w:tcPr>
            <w:tcW w:w="1512" w:type="dxa"/>
            <w:tcBorders>
              <w:top w:val="nil"/>
            </w:tcBorders>
          </w:tcPr>
          <w:p w:rsidR="00564EEE" w:rsidRPr="00564EEE" w:rsidRDefault="00564EEE">
            <w:pPr>
              <w:pStyle w:val="ConsPlusNonformat"/>
              <w:jc w:val="both"/>
            </w:pPr>
            <w:r w:rsidRPr="00564EEE">
              <w:rPr>
                <w:sz w:val="12"/>
              </w:rPr>
              <w:t xml:space="preserve">         3         </w:t>
            </w:r>
          </w:p>
        </w:tc>
        <w:tc>
          <w:tcPr>
            <w:tcW w:w="1008" w:type="dxa"/>
            <w:tcBorders>
              <w:top w:val="nil"/>
            </w:tcBorders>
          </w:tcPr>
          <w:p w:rsidR="00564EEE" w:rsidRPr="00564EEE" w:rsidRDefault="00564EEE">
            <w:pPr>
              <w:pStyle w:val="ConsPlusNonformat"/>
              <w:jc w:val="both"/>
            </w:pPr>
            <w:r w:rsidRPr="00564EEE">
              <w:rPr>
                <w:sz w:val="12"/>
              </w:rPr>
              <w:t xml:space="preserve">     3      </w:t>
            </w:r>
          </w:p>
        </w:tc>
        <w:tc>
          <w:tcPr>
            <w:tcW w:w="1296" w:type="dxa"/>
            <w:tcBorders>
              <w:top w:val="nil"/>
            </w:tcBorders>
          </w:tcPr>
          <w:p w:rsidR="00564EEE" w:rsidRPr="00564EEE" w:rsidRDefault="00564EEE">
            <w:pPr>
              <w:pStyle w:val="ConsPlusNonformat"/>
              <w:jc w:val="both"/>
            </w:pPr>
            <w:r w:rsidRPr="00564EEE">
              <w:rPr>
                <w:sz w:val="12"/>
              </w:rPr>
              <w:t xml:space="preserve">       2        </w:t>
            </w:r>
          </w:p>
        </w:tc>
        <w:tc>
          <w:tcPr>
            <w:tcW w:w="1224" w:type="dxa"/>
            <w:tcBorders>
              <w:top w:val="nil"/>
            </w:tcBorders>
          </w:tcPr>
          <w:p w:rsidR="00564EEE" w:rsidRPr="00564EEE" w:rsidRDefault="00564EEE">
            <w:pPr>
              <w:pStyle w:val="ConsPlusNonformat"/>
              <w:jc w:val="both"/>
            </w:pPr>
            <w:r w:rsidRPr="00564EEE">
              <w:rPr>
                <w:sz w:val="12"/>
              </w:rPr>
              <w:t xml:space="preserve">       9       </w:t>
            </w:r>
          </w:p>
        </w:tc>
        <w:tc>
          <w:tcPr>
            <w:tcW w:w="1080" w:type="dxa"/>
            <w:tcBorders>
              <w:top w:val="nil"/>
            </w:tcBorders>
          </w:tcPr>
          <w:p w:rsidR="00564EEE" w:rsidRPr="00564EEE" w:rsidRDefault="00564EEE">
            <w:pPr>
              <w:pStyle w:val="ConsPlusNonformat"/>
              <w:jc w:val="both"/>
            </w:pPr>
            <w:r w:rsidRPr="00564EEE">
              <w:rPr>
                <w:sz w:val="12"/>
              </w:rPr>
              <w:t xml:space="preserve">     20      </w:t>
            </w:r>
          </w:p>
        </w:tc>
        <w:tc>
          <w:tcPr>
            <w:tcW w:w="1440" w:type="dxa"/>
            <w:tcBorders>
              <w:top w:val="nil"/>
            </w:tcBorders>
          </w:tcPr>
          <w:p w:rsidR="00564EEE" w:rsidRPr="00564EEE" w:rsidRDefault="00564EEE">
            <w:pPr>
              <w:pStyle w:val="ConsPlusNonformat"/>
              <w:jc w:val="both"/>
            </w:pPr>
            <w:r w:rsidRPr="00564EEE">
              <w:rPr>
                <w:sz w:val="12"/>
              </w:rPr>
              <w:t xml:space="preserve">        37        </w:t>
            </w:r>
          </w:p>
        </w:tc>
      </w:tr>
      <w:tr w:rsidR="00564EEE" w:rsidRPr="00564EEE">
        <w:trPr>
          <w:trHeight w:val="140"/>
        </w:trPr>
        <w:tc>
          <w:tcPr>
            <w:tcW w:w="1800" w:type="dxa"/>
            <w:tcBorders>
              <w:top w:val="nil"/>
            </w:tcBorders>
          </w:tcPr>
          <w:p w:rsidR="00564EEE" w:rsidRPr="00564EEE" w:rsidRDefault="00564EEE">
            <w:pPr>
              <w:pStyle w:val="ConsPlusNonformat"/>
              <w:jc w:val="both"/>
            </w:pPr>
            <w:proofErr w:type="gramStart"/>
            <w:r w:rsidRPr="00564EEE">
              <w:rPr>
                <w:sz w:val="12"/>
              </w:rPr>
              <w:t>ВЛ</w:t>
            </w:r>
            <w:proofErr w:type="gramEnd"/>
            <w:r w:rsidRPr="00564EEE">
              <w:rPr>
                <w:sz w:val="12"/>
              </w:rPr>
              <w:t xml:space="preserve"> 220 </w:t>
            </w:r>
            <w:proofErr w:type="spellStart"/>
            <w:r w:rsidRPr="00564EEE">
              <w:rPr>
                <w:sz w:val="12"/>
              </w:rPr>
              <w:t>кВ</w:t>
            </w:r>
            <w:proofErr w:type="spellEnd"/>
            <w:r w:rsidRPr="00564EEE">
              <w:rPr>
                <w:sz w:val="12"/>
              </w:rPr>
              <w:t xml:space="preserve"> свыше 200 км </w:t>
            </w:r>
          </w:p>
        </w:tc>
        <w:tc>
          <w:tcPr>
            <w:tcW w:w="1512" w:type="dxa"/>
            <w:tcBorders>
              <w:top w:val="nil"/>
            </w:tcBorders>
          </w:tcPr>
          <w:p w:rsidR="00564EEE" w:rsidRPr="00564EEE" w:rsidRDefault="00564EEE">
            <w:pPr>
              <w:pStyle w:val="ConsPlusNonformat"/>
              <w:jc w:val="both"/>
            </w:pPr>
            <w:r w:rsidRPr="00564EEE">
              <w:rPr>
                <w:sz w:val="12"/>
              </w:rPr>
              <w:t xml:space="preserve">         3         </w:t>
            </w:r>
          </w:p>
        </w:tc>
        <w:tc>
          <w:tcPr>
            <w:tcW w:w="1008" w:type="dxa"/>
            <w:tcBorders>
              <w:top w:val="nil"/>
            </w:tcBorders>
          </w:tcPr>
          <w:p w:rsidR="00564EEE" w:rsidRPr="00564EEE" w:rsidRDefault="00564EEE">
            <w:pPr>
              <w:pStyle w:val="ConsPlusNonformat"/>
              <w:jc w:val="both"/>
            </w:pPr>
            <w:r w:rsidRPr="00564EEE">
              <w:rPr>
                <w:sz w:val="12"/>
              </w:rPr>
              <w:t xml:space="preserve">     3      </w:t>
            </w:r>
          </w:p>
        </w:tc>
        <w:tc>
          <w:tcPr>
            <w:tcW w:w="1296" w:type="dxa"/>
            <w:tcBorders>
              <w:top w:val="nil"/>
            </w:tcBorders>
          </w:tcPr>
          <w:p w:rsidR="00564EEE" w:rsidRPr="00564EEE" w:rsidRDefault="00564EEE">
            <w:pPr>
              <w:pStyle w:val="ConsPlusNonformat"/>
              <w:jc w:val="both"/>
            </w:pPr>
            <w:r w:rsidRPr="00564EEE">
              <w:rPr>
                <w:sz w:val="12"/>
              </w:rPr>
              <w:t xml:space="preserve">       2        </w:t>
            </w:r>
          </w:p>
        </w:tc>
        <w:tc>
          <w:tcPr>
            <w:tcW w:w="1224" w:type="dxa"/>
            <w:tcBorders>
              <w:top w:val="nil"/>
            </w:tcBorders>
          </w:tcPr>
          <w:p w:rsidR="00564EEE" w:rsidRPr="00564EEE" w:rsidRDefault="00564EEE">
            <w:pPr>
              <w:pStyle w:val="ConsPlusNonformat"/>
              <w:jc w:val="both"/>
            </w:pPr>
            <w:r w:rsidRPr="00564EEE">
              <w:rPr>
                <w:sz w:val="12"/>
              </w:rPr>
              <w:t xml:space="preserve">       9       </w:t>
            </w:r>
          </w:p>
        </w:tc>
        <w:tc>
          <w:tcPr>
            <w:tcW w:w="1080" w:type="dxa"/>
            <w:tcBorders>
              <w:top w:val="nil"/>
            </w:tcBorders>
          </w:tcPr>
          <w:p w:rsidR="00564EEE" w:rsidRPr="00564EEE" w:rsidRDefault="00564EEE">
            <w:pPr>
              <w:pStyle w:val="ConsPlusNonformat"/>
              <w:jc w:val="both"/>
            </w:pPr>
            <w:r w:rsidRPr="00564EEE">
              <w:rPr>
                <w:sz w:val="12"/>
              </w:rPr>
              <w:t xml:space="preserve">     24      </w:t>
            </w:r>
          </w:p>
        </w:tc>
        <w:tc>
          <w:tcPr>
            <w:tcW w:w="1440" w:type="dxa"/>
            <w:tcBorders>
              <w:top w:val="nil"/>
            </w:tcBorders>
          </w:tcPr>
          <w:p w:rsidR="00564EEE" w:rsidRPr="00564EEE" w:rsidRDefault="00564EEE">
            <w:pPr>
              <w:pStyle w:val="ConsPlusNonformat"/>
              <w:jc w:val="both"/>
            </w:pPr>
            <w:r w:rsidRPr="00564EEE">
              <w:rPr>
                <w:sz w:val="12"/>
              </w:rPr>
              <w:t xml:space="preserve">        41        </w:t>
            </w:r>
          </w:p>
        </w:tc>
      </w:tr>
      <w:tr w:rsidR="00564EEE" w:rsidRPr="00564EEE">
        <w:trPr>
          <w:trHeight w:val="140"/>
        </w:trPr>
        <w:tc>
          <w:tcPr>
            <w:tcW w:w="1800" w:type="dxa"/>
            <w:tcBorders>
              <w:top w:val="nil"/>
            </w:tcBorders>
          </w:tcPr>
          <w:p w:rsidR="00564EEE" w:rsidRPr="00564EEE" w:rsidRDefault="00564EEE">
            <w:pPr>
              <w:pStyle w:val="ConsPlusNonformat"/>
              <w:jc w:val="both"/>
            </w:pPr>
            <w:proofErr w:type="gramStart"/>
            <w:r w:rsidRPr="00564EEE">
              <w:rPr>
                <w:sz w:val="12"/>
              </w:rPr>
              <w:t>ВЛ</w:t>
            </w:r>
            <w:proofErr w:type="gramEnd"/>
            <w:r w:rsidRPr="00564EEE">
              <w:rPr>
                <w:sz w:val="12"/>
              </w:rPr>
              <w:t xml:space="preserve"> 110 </w:t>
            </w:r>
            <w:proofErr w:type="spellStart"/>
            <w:r w:rsidRPr="00564EEE">
              <w:rPr>
                <w:sz w:val="12"/>
              </w:rPr>
              <w:t>кВ</w:t>
            </w:r>
            <w:proofErr w:type="spellEnd"/>
            <w:r w:rsidRPr="00564EEE">
              <w:rPr>
                <w:sz w:val="12"/>
              </w:rPr>
              <w:t xml:space="preserve"> до 50 км     </w:t>
            </w:r>
          </w:p>
        </w:tc>
        <w:tc>
          <w:tcPr>
            <w:tcW w:w="1512" w:type="dxa"/>
            <w:tcBorders>
              <w:top w:val="nil"/>
            </w:tcBorders>
          </w:tcPr>
          <w:p w:rsidR="00564EEE" w:rsidRPr="00564EEE" w:rsidRDefault="00564EEE">
            <w:pPr>
              <w:pStyle w:val="ConsPlusNonformat"/>
              <w:jc w:val="both"/>
            </w:pPr>
            <w:r w:rsidRPr="00564EEE">
              <w:rPr>
                <w:sz w:val="12"/>
              </w:rPr>
              <w:t xml:space="preserve">         3         </w:t>
            </w:r>
          </w:p>
        </w:tc>
        <w:tc>
          <w:tcPr>
            <w:tcW w:w="1008" w:type="dxa"/>
            <w:tcBorders>
              <w:top w:val="nil"/>
            </w:tcBorders>
          </w:tcPr>
          <w:p w:rsidR="00564EEE" w:rsidRPr="00564EEE" w:rsidRDefault="00564EEE">
            <w:pPr>
              <w:pStyle w:val="ConsPlusNonformat"/>
              <w:jc w:val="both"/>
            </w:pPr>
            <w:r w:rsidRPr="00564EEE">
              <w:rPr>
                <w:sz w:val="12"/>
              </w:rPr>
              <w:t xml:space="preserve">     3      </w:t>
            </w:r>
          </w:p>
        </w:tc>
        <w:tc>
          <w:tcPr>
            <w:tcW w:w="1296" w:type="dxa"/>
            <w:tcBorders>
              <w:top w:val="nil"/>
            </w:tcBorders>
          </w:tcPr>
          <w:p w:rsidR="00564EEE" w:rsidRPr="00564EEE" w:rsidRDefault="00564EEE">
            <w:pPr>
              <w:pStyle w:val="ConsPlusNonformat"/>
              <w:jc w:val="both"/>
            </w:pPr>
            <w:r w:rsidRPr="00564EEE">
              <w:rPr>
                <w:sz w:val="12"/>
              </w:rPr>
              <w:t xml:space="preserve">       2        </w:t>
            </w:r>
          </w:p>
        </w:tc>
        <w:tc>
          <w:tcPr>
            <w:tcW w:w="1224" w:type="dxa"/>
            <w:tcBorders>
              <w:top w:val="nil"/>
            </w:tcBorders>
          </w:tcPr>
          <w:p w:rsidR="00564EEE" w:rsidRPr="00564EEE" w:rsidRDefault="00564EEE">
            <w:pPr>
              <w:pStyle w:val="ConsPlusNonformat"/>
              <w:jc w:val="both"/>
            </w:pPr>
            <w:r w:rsidRPr="00564EEE">
              <w:rPr>
                <w:sz w:val="12"/>
              </w:rPr>
              <w:t xml:space="preserve">       8       </w:t>
            </w:r>
          </w:p>
        </w:tc>
        <w:tc>
          <w:tcPr>
            <w:tcW w:w="1080" w:type="dxa"/>
            <w:tcBorders>
              <w:top w:val="nil"/>
            </w:tcBorders>
          </w:tcPr>
          <w:p w:rsidR="00564EEE" w:rsidRPr="00564EEE" w:rsidRDefault="00564EEE">
            <w:pPr>
              <w:pStyle w:val="ConsPlusNonformat"/>
              <w:jc w:val="both"/>
            </w:pPr>
            <w:r w:rsidRPr="00564EEE">
              <w:rPr>
                <w:sz w:val="12"/>
              </w:rPr>
              <w:t xml:space="preserve">      6      </w:t>
            </w:r>
          </w:p>
        </w:tc>
        <w:tc>
          <w:tcPr>
            <w:tcW w:w="1440" w:type="dxa"/>
            <w:tcBorders>
              <w:top w:val="nil"/>
            </w:tcBorders>
          </w:tcPr>
          <w:p w:rsidR="00564EEE" w:rsidRPr="00564EEE" w:rsidRDefault="00564EEE">
            <w:pPr>
              <w:pStyle w:val="ConsPlusNonformat"/>
              <w:jc w:val="both"/>
            </w:pPr>
            <w:r w:rsidRPr="00564EEE">
              <w:rPr>
                <w:sz w:val="12"/>
              </w:rPr>
              <w:t xml:space="preserve">        22        </w:t>
            </w:r>
          </w:p>
        </w:tc>
      </w:tr>
      <w:tr w:rsidR="00564EEE" w:rsidRPr="00564EEE">
        <w:trPr>
          <w:trHeight w:val="140"/>
        </w:trPr>
        <w:tc>
          <w:tcPr>
            <w:tcW w:w="1800" w:type="dxa"/>
            <w:tcBorders>
              <w:top w:val="nil"/>
            </w:tcBorders>
          </w:tcPr>
          <w:p w:rsidR="00564EEE" w:rsidRPr="00564EEE" w:rsidRDefault="00564EEE">
            <w:pPr>
              <w:pStyle w:val="ConsPlusNonformat"/>
              <w:jc w:val="both"/>
            </w:pPr>
            <w:proofErr w:type="gramStart"/>
            <w:r w:rsidRPr="00564EEE">
              <w:rPr>
                <w:sz w:val="12"/>
              </w:rPr>
              <w:t>ВЛ</w:t>
            </w:r>
            <w:proofErr w:type="gramEnd"/>
            <w:r w:rsidRPr="00564EEE">
              <w:rPr>
                <w:sz w:val="12"/>
              </w:rPr>
              <w:t xml:space="preserve"> 110 </w:t>
            </w:r>
            <w:proofErr w:type="spellStart"/>
            <w:r w:rsidRPr="00564EEE">
              <w:rPr>
                <w:sz w:val="12"/>
              </w:rPr>
              <w:t>кВ</w:t>
            </w:r>
            <w:proofErr w:type="spellEnd"/>
            <w:r w:rsidRPr="00564EEE">
              <w:rPr>
                <w:sz w:val="12"/>
              </w:rPr>
              <w:t xml:space="preserve"> 50 - 100 км  </w:t>
            </w:r>
          </w:p>
        </w:tc>
        <w:tc>
          <w:tcPr>
            <w:tcW w:w="1512" w:type="dxa"/>
            <w:tcBorders>
              <w:top w:val="nil"/>
            </w:tcBorders>
          </w:tcPr>
          <w:p w:rsidR="00564EEE" w:rsidRPr="00564EEE" w:rsidRDefault="00564EEE">
            <w:pPr>
              <w:pStyle w:val="ConsPlusNonformat"/>
              <w:jc w:val="both"/>
            </w:pPr>
            <w:r w:rsidRPr="00564EEE">
              <w:rPr>
                <w:sz w:val="12"/>
              </w:rPr>
              <w:t xml:space="preserve">         3         </w:t>
            </w:r>
          </w:p>
        </w:tc>
        <w:tc>
          <w:tcPr>
            <w:tcW w:w="1008" w:type="dxa"/>
            <w:tcBorders>
              <w:top w:val="nil"/>
            </w:tcBorders>
          </w:tcPr>
          <w:p w:rsidR="00564EEE" w:rsidRPr="00564EEE" w:rsidRDefault="00564EEE">
            <w:pPr>
              <w:pStyle w:val="ConsPlusNonformat"/>
              <w:jc w:val="both"/>
            </w:pPr>
            <w:r w:rsidRPr="00564EEE">
              <w:rPr>
                <w:sz w:val="12"/>
              </w:rPr>
              <w:t xml:space="preserve">     3      </w:t>
            </w:r>
          </w:p>
        </w:tc>
        <w:tc>
          <w:tcPr>
            <w:tcW w:w="1296" w:type="dxa"/>
            <w:tcBorders>
              <w:top w:val="nil"/>
            </w:tcBorders>
          </w:tcPr>
          <w:p w:rsidR="00564EEE" w:rsidRPr="00564EEE" w:rsidRDefault="00564EEE">
            <w:pPr>
              <w:pStyle w:val="ConsPlusNonformat"/>
              <w:jc w:val="both"/>
            </w:pPr>
            <w:r w:rsidRPr="00564EEE">
              <w:rPr>
                <w:sz w:val="12"/>
              </w:rPr>
              <w:t xml:space="preserve">       2        </w:t>
            </w:r>
          </w:p>
        </w:tc>
        <w:tc>
          <w:tcPr>
            <w:tcW w:w="1224" w:type="dxa"/>
            <w:tcBorders>
              <w:top w:val="nil"/>
            </w:tcBorders>
          </w:tcPr>
          <w:p w:rsidR="00564EEE" w:rsidRPr="00564EEE" w:rsidRDefault="00564EEE">
            <w:pPr>
              <w:pStyle w:val="ConsPlusNonformat"/>
              <w:jc w:val="both"/>
            </w:pPr>
            <w:r w:rsidRPr="00564EEE">
              <w:rPr>
                <w:sz w:val="12"/>
              </w:rPr>
              <w:t xml:space="preserve">       8       </w:t>
            </w:r>
          </w:p>
        </w:tc>
        <w:tc>
          <w:tcPr>
            <w:tcW w:w="1080" w:type="dxa"/>
            <w:tcBorders>
              <w:top w:val="nil"/>
            </w:tcBorders>
          </w:tcPr>
          <w:p w:rsidR="00564EEE" w:rsidRPr="00564EEE" w:rsidRDefault="00564EEE">
            <w:pPr>
              <w:pStyle w:val="ConsPlusNonformat"/>
              <w:jc w:val="both"/>
            </w:pPr>
            <w:r w:rsidRPr="00564EEE">
              <w:rPr>
                <w:sz w:val="12"/>
              </w:rPr>
              <w:t xml:space="preserve">      7      </w:t>
            </w:r>
          </w:p>
        </w:tc>
        <w:tc>
          <w:tcPr>
            <w:tcW w:w="1440" w:type="dxa"/>
            <w:tcBorders>
              <w:top w:val="nil"/>
            </w:tcBorders>
          </w:tcPr>
          <w:p w:rsidR="00564EEE" w:rsidRPr="00564EEE" w:rsidRDefault="00564EEE">
            <w:pPr>
              <w:pStyle w:val="ConsPlusNonformat"/>
              <w:jc w:val="both"/>
            </w:pPr>
            <w:r w:rsidRPr="00564EEE">
              <w:rPr>
                <w:sz w:val="12"/>
              </w:rPr>
              <w:t xml:space="preserve">        23        </w:t>
            </w:r>
          </w:p>
        </w:tc>
      </w:tr>
      <w:tr w:rsidR="00564EEE" w:rsidRPr="00564EEE">
        <w:trPr>
          <w:trHeight w:val="140"/>
        </w:trPr>
        <w:tc>
          <w:tcPr>
            <w:tcW w:w="1800" w:type="dxa"/>
            <w:tcBorders>
              <w:top w:val="nil"/>
            </w:tcBorders>
          </w:tcPr>
          <w:p w:rsidR="00564EEE" w:rsidRPr="00564EEE" w:rsidRDefault="00564EEE">
            <w:pPr>
              <w:pStyle w:val="ConsPlusNonformat"/>
              <w:jc w:val="both"/>
            </w:pPr>
            <w:proofErr w:type="gramStart"/>
            <w:r w:rsidRPr="00564EEE">
              <w:rPr>
                <w:sz w:val="12"/>
              </w:rPr>
              <w:t>ВЛ</w:t>
            </w:r>
            <w:proofErr w:type="gramEnd"/>
            <w:r w:rsidRPr="00564EEE">
              <w:rPr>
                <w:sz w:val="12"/>
              </w:rPr>
              <w:t xml:space="preserve"> 110 </w:t>
            </w:r>
            <w:proofErr w:type="spellStart"/>
            <w:r w:rsidRPr="00564EEE">
              <w:rPr>
                <w:sz w:val="12"/>
              </w:rPr>
              <w:t>кВ</w:t>
            </w:r>
            <w:proofErr w:type="spellEnd"/>
            <w:r w:rsidRPr="00564EEE">
              <w:rPr>
                <w:sz w:val="12"/>
              </w:rPr>
              <w:t xml:space="preserve"> 100 - 200 км </w:t>
            </w:r>
          </w:p>
        </w:tc>
        <w:tc>
          <w:tcPr>
            <w:tcW w:w="1512" w:type="dxa"/>
            <w:tcBorders>
              <w:top w:val="nil"/>
            </w:tcBorders>
          </w:tcPr>
          <w:p w:rsidR="00564EEE" w:rsidRPr="00564EEE" w:rsidRDefault="00564EEE">
            <w:pPr>
              <w:pStyle w:val="ConsPlusNonformat"/>
              <w:jc w:val="both"/>
            </w:pPr>
            <w:r w:rsidRPr="00564EEE">
              <w:rPr>
                <w:sz w:val="12"/>
              </w:rPr>
              <w:t xml:space="preserve">         3         </w:t>
            </w:r>
          </w:p>
        </w:tc>
        <w:tc>
          <w:tcPr>
            <w:tcW w:w="1008" w:type="dxa"/>
            <w:tcBorders>
              <w:top w:val="nil"/>
            </w:tcBorders>
          </w:tcPr>
          <w:p w:rsidR="00564EEE" w:rsidRPr="00564EEE" w:rsidRDefault="00564EEE">
            <w:pPr>
              <w:pStyle w:val="ConsPlusNonformat"/>
              <w:jc w:val="both"/>
            </w:pPr>
            <w:r w:rsidRPr="00564EEE">
              <w:rPr>
                <w:sz w:val="12"/>
              </w:rPr>
              <w:t xml:space="preserve">     3      </w:t>
            </w:r>
          </w:p>
        </w:tc>
        <w:tc>
          <w:tcPr>
            <w:tcW w:w="1296" w:type="dxa"/>
            <w:tcBorders>
              <w:top w:val="nil"/>
            </w:tcBorders>
          </w:tcPr>
          <w:p w:rsidR="00564EEE" w:rsidRPr="00564EEE" w:rsidRDefault="00564EEE">
            <w:pPr>
              <w:pStyle w:val="ConsPlusNonformat"/>
              <w:jc w:val="both"/>
            </w:pPr>
            <w:r w:rsidRPr="00564EEE">
              <w:rPr>
                <w:sz w:val="12"/>
              </w:rPr>
              <w:t xml:space="preserve">       2        </w:t>
            </w:r>
          </w:p>
        </w:tc>
        <w:tc>
          <w:tcPr>
            <w:tcW w:w="1224" w:type="dxa"/>
            <w:tcBorders>
              <w:top w:val="nil"/>
            </w:tcBorders>
          </w:tcPr>
          <w:p w:rsidR="00564EEE" w:rsidRPr="00564EEE" w:rsidRDefault="00564EEE">
            <w:pPr>
              <w:pStyle w:val="ConsPlusNonformat"/>
              <w:jc w:val="both"/>
            </w:pPr>
            <w:r w:rsidRPr="00564EEE">
              <w:rPr>
                <w:sz w:val="12"/>
              </w:rPr>
              <w:t xml:space="preserve">       8       </w:t>
            </w:r>
          </w:p>
        </w:tc>
        <w:tc>
          <w:tcPr>
            <w:tcW w:w="1080" w:type="dxa"/>
            <w:tcBorders>
              <w:top w:val="nil"/>
            </w:tcBorders>
          </w:tcPr>
          <w:p w:rsidR="00564EEE" w:rsidRPr="00564EEE" w:rsidRDefault="00564EEE">
            <w:pPr>
              <w:pStyle w:val="ConsPlusNonformat"/>
              <w:jc w:val="both"/>
            </w:pPr>
            <w:r w:rsidRPr="00564EEE">
              <w:rPr>
                <w:sz w:val="12"/>
              </w:rPr>
              <w:t xml:space="preserve">      8      </w:t>
            </w:r>
          </w:p>
        </w:tc>
        <w:tc>
          <w:tcPr>
            <w:tcW w:w="1440" w:type="dxa"/>
            <w:tcBorders>
              <w:top w:val="nil"/>
            </w:tcBorders>
          </w:tcPr>
          <w:p w:rsidR="00564EEE" w:rsidRPr="00564EEE" w:rsidRDefault="00564EEE">
            <w:pPr>
              <w:pStyle w:val="ConsPlusNonformat"/>
              <w:jc w:val="both"/>
            </w:pPr>
            <w:r w:rsidRPr="00564EEE">
              <w:rPr>
                <w:sz w:val="12"/>
              </w:rPr>
              <w:t xml:space="preserve">        24        </w:t>
            </w:r>
          </w:p>
        </w:tc>
      </w:tr>
      <w:tr w:rsidR="00564EEE" w:rsidRPr="00564EEE">
        <w:trPr>
          <w:trHeight w:val="140"/>
        </w:trPr>
        <w:tc>
          <w:tcPr>
            <w:tcW w:w="1800" w:type="dxa"/>
            <w:tcBorders>
              <w:top w:val="nil"/>
            </w:tcBorders>
          </w:tcPr>
          <w:p w:rsidR="00564EEE" w:rsidRPr="00564EEE" w:rsidRDefault="00564EEE">
            <w:pPr>
              <w:pStyle w:val="ConsPlusNonformat"/>
              <w:jc w:val="both"/>
            </w:pPr>
            <w:proofErr w:type="gramStart"/>
            <w:r w:rsidRPr="00564EEE">
              <w:rPr>
                <w:sz w:val="12"/>
              </w:rPr>
              <w:t>ВЛ</w:t>
            </w:r>
            <w:proofErr w:type="gramEnd"/>
            <w:r w:rsidRPr="00564EEE">
              <w:rPr>
                <w:sz w:val="12"/>
              </w:rPr>
              <w:t xml:space="preserve"> 110 </w:t>
            </w:r>
            <w:proofErr w:type="spellStart"/>
            <w:r w:rsidRPr="00564EEE">
              <w:rPr>
                <w:sz w:val="12"/>
              </w:rPr>
              <w:t>кВ</w:t>
            </w:r>
            <w:proofErr w:type="spellEnd"/>
            <w:r w:rsidRPr="00564EEE">
              <w:rPr>
                <w:sz w:val="12"/>
              </w:rPr>
              <w:t xml:space="preserve"> свыше 200 км </w:t>
            </w:r>
          </w:p>
        </w:tc>
        <w:tc>
          <w:tcPr>
            <w:tcW w:w="1512" w:type="dxa"/>
            <w:tcBorders>
              <w:top w:val="nil"/>
            </w:tcBorders>
          </w:tcPr>
          <w:p w:rsidR="00564EEE" w:rsidRPr="00564EEE" w:rsidRDefault="00564EEE">
            <w:pPr>
              <w:pStyle w:val="ConsPlusNonformat"/>
              <w:jc w:val="both"/>
            </w:pPr>
            <w:r w:rsidRPr="00564EEE">
              <w:rPr>
                <w:sz w:val="12"/>
              </w:rPr>
              <w:t xml:space="preserve">         3         </w:t>
            </w:r>
          </w:p>
        </w:tc>
        <w:tc>
          <w:tcPr>
            <w:tcW w:w="1008" w:type="dxa"/>
            <w:tcBorders>
              <w:top w:val="nil"/>
            </w:tcBorders>
          </w:tcPr>
          <w:p w:rsidR="00564EEE" w:rsidRPr="00564EEE" w:rsidRDefault="00564EEE">
            <w:pPr>
              <w:pStyle w:val="ConsPlusNonformat"/>
              <w:jc w:val="both"/>
            </w:pPr>
            <w:r w:rsidRPr="00564EEE">
              <w:rPr>
                <w:sz w:val="12"/>
              </w:rPr>
              <w:t xml:space="preserve">     3      </w:t>
            </w:r>
          </w:p>
        </w:tc>
        <w:tc>
          <w:tcPr>
            <w:tcW w:w="1296" w:type="dxa"/>
            <w:tcBorders>
              <w:top w:val="nil"/>
            </w:tcBorders>
          </w:tcPr>
          <w:p w:rsidR="00564EEE" w:rsidRPr="00564EEE" w:rsidRDefault="00564EEE">
            <w:pPr>
              <w:pStyle w:val="ConsPlusNonformat"/>
              <w:jc w:val="both"/>
            </w:pPr>
            <w:r w:rsidRPr="00564EEE">
              <w:rPr>
                <w:sz w:val="12"/>
              </w:rPr>
              <w:t xml:space="preserve">       2        </w:t>
            </w:r>
          </w:p>
        </w:tc>
        <w:tc>
          <w:tcPr>
            <w:tcW w:w="1224" w:type="dxa"/>
            <w:tcBorders>
              <w:top w:val="nil"/>
            </w:tcBorders>
          </w:tcPr>
          <w:p w:rsidR="00564EEE" w:rsidRPr="00564EEE" w:rsidRDefault="00564EEE">
            <w:pPr>
              <w:pStyle w:val="ConsPlusNonformat"/>
              <w:jc w:val="both"/>
            </w:pPr>
            <w:r w:rsidRPr="00564EEE">
              <w:rPr>
                <w:sz w:val="12"/>
              </w:rPr>
              <w:t xml:space="preserve">       9       </w:t>
            </w:r>
          </w:p>
        </w:tc>
        <w:tc>
          <w:tcPr>
            <w:tcW w:w="1080" w:type="dxa"/>
            <w:tcBorders>
              <w:top w:val="nil"/>
            </w:tcBorders>
          </w:tcPr>
          <w:p w:rsidR="00564EEE" w:rsidRPr="00564EEE" w:rsidRDefault="00564EEE">
            <w:pPr>
              <w:pStyle w:val="ConsPlusNonformat"/>
              <w:jc w:val="both"/>
            </w:pPr>
            <w:r w:rsidRPr="00564EEE">
              <w:rPr>
                <w:sz w:val="12"/>
              </w:rPr>
              <w:t xml:space="preserve">     10      </w:t>
            </w:r>
          </w:p>
        </w:tc>
        <w:tc>
          <w:tcPr>
            <w:tcW w:w="1440" w:type="dxa"/>
            <w:tcBorders>
              <w:top w:val="nil"/>
            </w:tcBorders>
          </w:tcPr>
          <w:p w:rsidR="00564EEE" w:rsidRPr="00564EEE" w:rsidRDefault="00564EEE">
            <w:pPr>
              <w:pStyle w:val="ConsPlusNonformat"/>
              <w:jc w:val="both"/>
            </w:pPr>
            <w:r w:rsidRPr="00564EEE">
              <w:rPr>
                <w:sz w:val="12"/>
              </w:rPr>
              <w:t xml:space="preserve">        27        </w:t>
            </w:r>
          </w:p>
        </w:tc>
      </w:tr>
      <w:tr w:rsidR="00564EEE" w:rsidRPr="00564EEE">
        <w:trPr>
          <w:trHeight w:val="140"/>
        </w:trPr>
        <w:tc>
          <w:tcPr>
            <w:tcW w:w="1800" w:type="dxa"/>
            <w:tcBorders>
              <w:top w:val="nil"/>
            </w:tcBorders>
          </w:tcPr>
          <w:p w:rsidR="00564EEE" w:rsidRPr="00564EEE" w:rsidRDefault="00564EEE">
            <w:pPr>
              <w:pStyle w:val="ConsPlusNonformat"/>
              <w:jc w:val="both"/>
            </w:pPr>
            <w:proofErr w:type="gramStart"/>
            <w:r w:rsidRPr="00564EEE">
              <w:rPr>
                <w:sz w:val="12"/>
              </w:rPr>
              <w:t>ВЛ</w:t>
            </w:r>
            <w:proofErr w:type="gramEnd"/>
            <w:r w:rsidRPr="00564EEE">
              <w:rPr>
                <w:sz w:val="12"/>
              </w:rPr>
              <w:t xml:space="preserve"> 35 </w:t>
            </w:r>
            <w:proofErr w:type="spellStart"/>
            <w:r w:rsidRPr="00564EEE">
              <w:rPr>
                <w:sz w:val="12"/>
              </w:rPr>
              <w:t>кВ</w:t>
            </w:r>
            <w:proofErr w:type="spellEnd"/>
            <w:r w:rsidRPr="00564EEE">
              <w:rPr>
                <w:sz w:val="12"/>
              </w:rPr>
              <w:t xml:space="preserve"> до 20 км      </w:t>
            </w:r>
          </w:p>
        </w:tc>
        <w:tc>
          <w:tcPr>
            <w:tcW w:w="1512" w:type="dxa"/>
            <w:tcBorders>
              <w:top w:val="nil"/>
            </w:tcBorders>
          </w:tcPr>
          <w:p w:rsidR="00564EEE" w:rsidRPr="00564EEE" w:rsidRDefault="00564EEE">
            <w:pPr>
              <w:pStyle w:val="ConsPlusNonformat"/>
              <w:jc w:val="both"/>
            </w:pPr>
            <w:r w:rsidRPr="00564EEE">
              <w:rPr>
                <w:sz w:val="12"/>
              </w:rPr>
              <w:t xml:space="preserve">         3         </w:t>
            </w:r>
          </w:p>
        </w:tc>
        <w:tc>
          <w:tcPr>
            <w:tcW w:w="1008" w:type="dxa"/>
            <w:tcBorders>
              <w:top w:val="nil"/>
            </w:tcBorders>
          </w:tcPr>
          <w:p w:rsidR="00564EEE" w:rsidRPr="00564EEE" w:rsidRDefault="00564EEE">
            <w:pPr>
              <w:pStyle w:val="ConsPlusNonformat"/>
              <w:jc w:val="both"/>
            </w:pPr>
            <w:r w:rsidRPr="00564EEE">
              <w:rPr>
                <w:sz w:val="12"/>
              </w:rPr>
              <w:t xml:space="preserve">     3      </w:t>
            </w:r>
          </w:p>
        </w:tc>
        <w:tc>
          <w:tcPr>
            <w:tcW w:w="1296" w:type="dxa"/>
            <w:tcBorders>
              <w:top w:val="nil"/>
            </w:tcBorders>
          </w:tcPr>
          <w:p w:rsidR="00564EEE" w:rsidRPr="00564EEE" w:rsidRDefault="00564EEE">
            <w:pPr>
              <w:pStyle w:val="ConsPlusNonformat"/>
              <w:jc w:val="both"/>
            </w:pPr>
            <w:r w:rsidRPr="00564EEE">
              <w:rPr>
                <w:sz w:val="12"/>
              </w:rPr>
              <w:t xml:space="preserve">       2        </w:t>
            </w:r>
          </w:p>
        </w:tc>
        <w:tc>
          <w:tcPr>
            <w:tcW w:w="1224" w:type="dxa"/>
            <w:tcBorders>
              <w:top w:val="nil"/>
            </w:tcBorders>
          </w:tcPr>
          <w:p w:rsidR="00564EEE" w:rsidRPr="00564EEE" w:rsidRDefault="00564EEE">
            <w:pPr>
              <w:pStyle w:val="ConsPlusNonformat"/>
              <w:jc w:val="both"/>
            </w:pPr>
            <w:r w:rsidRPr="00564EEE">
              <w:rPr>
                <w:sz w:val="12"/>
              </w:rPr>
              <w:t xml:space="preserve">       5       </w:t>
            </w:r>
          </w:p>
        </w:tc>
        <w:tc>
          <w:tcPr>
            <w:tcW w:w="1080" w:type="dxa"/>
            <w:tcBorders>
              <w:top w:val="nil"/>
            </w:tcBorders>
          </w:tcPr>
          <w:p w:rsidR="00564EEE" w:rsidRPr="00564EEE" w:rsidRDefault="00564EEE">
            <w:pPr>
              <w:pStyle w:val="ConsPlusNonformat"/>
              <w:jc w:val="both"/>
            </w:pPr>
            <w:r w:rsidRPr="00564EEE">
              <w:rPr>
                <w:sz w:val="12"/>
              </w:rPr>
              <w:t xml:space="preserve">      3      </w:t>
            </w:r>
          </w:p>
        </w:tc>
        <w:tc>
          <w:tcPr>
            <w:tcW w:w="1440" w:type="dxa"/>
            <w:tcBorders>
              <w:top w:val="nil"/>
            </w:tcBorders>
          </w:tcPr>
          <w:p w:rsidR="00564EEE" w:rsidRPr="00564EEE" w:rsidRDefault="00564EEE">
            <w:pPr>
              <w:pStyle w:val="ConsPlusNonformat"/>
              <w:jc w:val="both"/>
            </w:pPr>
            <w:r w:rsidRPr="00564EEE">
              <w:rPr>
                <w:sz w:val="12"/>
              </w:rPr>
              <w:t xml:space="preserve">        16        </w:t>
            </w:r>
          </w:p>
        </w:tc>
      </w:tr>
      <w:tr w:rsidR="00564EEE" w:rsidRPr="00564EEE">
        <w:trPr>
          <w:trHeight w:val="140"/>
        </w:trPr>
        <w:tc>
          <w:tcPr>
            <w:tcW w:w="1800" w:type="dxa"/>
            <w:tcBorders>
              <w:top w:val="nil"/>
            </w:tcBorders>
          </w:tcPr>
          <w:p w:rsidR="00564EEE" w:rsidRPr="00564EEE" w:rsidRDefault="00564EEE">
            <w:pPr>
              <w:pStyle w:val="ConsPlusNonformat"/>
              <w:jc w:val="both"/>
            </w:pPr>
            <w:proofErr w:type="gramStart"/>
            <w:r w:rsidRPr="00564EEE">
              <w:rPr>
                <w:sz w:val="12"/>
              </w:rPr>
              <w:t>ВЛ</w:t>
            </w:r>
            <w:proofErr w:type="gramEnd"/>
            <w:r w:rsidRPr="00564EEE">
              <w:rPr>
                <w:sz w:val="12"/>
              </w:rPr>
              <w:t xml:space="preserve"> 35 </w:t>
            </w:r>
            <w:proofErr w:type="spellStart"/>
            <w:r w:rsidRPr="00564EEE">
              <w:rPr>
                <w:sz w:val="12"/>
              </w:rPr>
              <w:t>кВ</w:t>
            </w:r>
            <w:proofErr w:type="spellEnd"/>
            <w:r w:rsidRPr="00564EEE">
              <w:rPr>
                <w:sz w:val="12"/>
              </w:rPr>
              <w:t xml:space="preserve"> свыше 20 км   </w:t>
            </w:r>
          </w:p>
        </w:tc>
        <w:tc>
          <w:tcPr>
            <w:tcW w:w="1512" w:type="dxa"/>
            <w:tcBorders>
              <w:top w:val="nil"/>
            </w:tcBorders>
          </w:tcPr>
          <w:p w:rsidR="00564EEE" w:rsidRPr="00564EEE" w:rsidRDefault="00564EEE">
            <w:pPr>
              <w:pStyle w:val="ConsPlusNonformat"/>
              <w:jc w:val="both"/>
            </w:pPr>
            <w:r w:rsidRPr="00564EEE">
              <w:rPr>
                <w:sz w:val="12"/>
              </w:rPr>
              <w:t xml:space="preserve">         3         </w:t>
            </w:r>
          </w:p>
        </w:tc>
        <w:tc>
          <w:tcPr>
            <w:tcW w:w="1008" w:type="dxa"/>
            <w:tcBorders>
              <w:top w:val="nil"/>
            </w:tcBorders>
          </w:tcPr>
          <w:p w:rsidR="00564EEE" w:rsidRPr="00564EEE" w:rsidRDefault="00564EEE">
            <w:pPr>
              <w:pStyle w:val="ConsPlusNonformat"/>
              <w:jc w:val="both"/>
            </w:pPr>
            <w:r w:rsidRPr="00564EEE">
              <w:rPr>
                <w:sz w:val="12"/>
              </w:rPr>
              <w:t xml:space="preserve">     3      </w:t>
            </w:r>
          </w:p>
        </w:tc>
        <w:tc>
          <w:tcPr>
            <w:tcW w:w="1296" w:type="dxa"/>
            <w:tcBorders>
              <w:top w:val="nil"/>
            </w:tcBorders>
          </w:tcPr>
          <w:p w:rsidR="00564EEE" w:rsidRPr="00564EEE" w:rsidRDefault="00564EEE">
            <w:pPr>
              <w:pStyle w:val="ConsPlusNonformat"/>
              <w:jc w:val="both"/>
            </w:pPr>
            <w:r w:rsidRPr="00564EEE">
              <w:rPr>
                <w:sz w:val="12"/>
              </w:rPr>
              <w:t xml:space="preserve">       2        </w:t>
            </w:r>
          </w:p>
        </w:tc>
        <w:tc>
          <w:tcPr>
            <w:tcW w:w="1224" w:type="dxa"/>
            <w:tcBorders>
              <w:top w:val="nil"/>
            </w:tcBorders>
          </w:tcPr>
          <w:p w:rsidR="00564EEE" w:rsidRPr="00564EEE" w:rsidRDefault="00564EEE">
            <w:pPr>
              <w:pStyle w:val="ConsPlusNonformat"/>
              <w:jc w:val="both"/>
            </w:pPr>
            <w:r w:rsidRPr="00564EEE">
              <w:rPr>
                <w:sz w:val="12"/>
              </w:rPr>
              <w:t xml:space="preserve">       5       </w:t>
            </w:r>
          </w:p>
        </w:tc>
        <w:tc>
          <w:tcPr>
            <w:tcW w:w="1080" w:type="dxa"/>
            <w:tcBorders>
              <w:top w:val="nil"/>
            </w:tcBorders>
          </w:tcPr>
          <w:p w:rsidR="00564EEE" w:rsidRPr="00564EEE" w:rsidRDefault="00564EEE">
            <w:pPr>
              <w:pStyle w:val="ConsPlusNonformat"/>
              <w:jc w:val="both"/>
            </w:pPr>
            <w:r w:rsidRPr="00564EEE">
              <w:rPr>
                <w:sz w:val="12"/>
              </w:rPr>
              <w:t xml:space="preserve">      6      </w:t>
            </w:r>
          </w:p>
        </w:tc>
        <w:tc>
          <w:tcPr>
            <w:tcW w:w="1440" w:type="dxa"/>
            <w:tcBorders>
              <w:top w:val="nil"/>
            </w:tcBorders>
          </w:tcPr>
          <w:p w:rsidR="00564EEE" w:rsidRPr="00564EEE" w:rsidRDefault="00564EEE">
            <w:pPr>
              <w:pStyle w:val="ConsPlusNonformat"/>
              <w:jc w:val="both"/>
            </w:pPr>
            <w:r w:rsidRPr="00564EEE">
              <w:rPr>
                <w:sz w:val="12"/>
              </w:rPr>
              <w:t xml:space="preserve">        19        </w:t>
            </w:r>
          </w:p>
        </w:tc>
      </w:tr>
      <w:tr w:rsidR="00564EEE" w:rsidRPr="00564EEE">
        <w:trPr>
          <w:trHeight w:val="140"/>
        </w:trPr>
        <w:tc>
          <w:tcPr>
            <w:tcW w:w="1800" w:type="dxa"/>
            <w:tcBorders>
              <w:top w:val="nil"/>
            </w:tcBorders>
          </w:tcPr>
          <w:p w:rsidR="00564EEE" w:rsidRPr="00564EEE" w:rsidRDefault="00564EEE">
            <w:pPr>
              <w:pStyle w:val="ConsPlusNonformat"/>
              <w:jc w:val="both"/>
            </w:pPr>
            <w:proofErr w:type="gramStart"/>
            <w:r w:rsidRPr="00564EEE">
              <w:rPr>
                <w:sz w:val="12"/>
              </w:rPr>
              <w:t>ВЛ</w:t>
            </w:r>
            <w:proofErr w:type="gramEnd"/>
            <w:r w:rsidRPr="00564EEE">
              <w:rPr>
                <w:sz w:val="12"/>
              </w:rPr>
              <w:t xml:space="preserve"> 6 - 10 </w:t>
            </w:r>
            <w:proofErr w:type="spellStart"/>
            <w:r w:rsidRPr="00564EEE">
              <w:rPr>
                <w:sz w:val="12"/>
              </w:rPr>
              <w:t>кВ</w:t>
            </w:r>
            <w:proofErr w:type="spellEnd"/>
            <w:r w:rsidRPr="00564EEE">
              <w:rPr>
                <w:sz w:val="12"/>
              </w:rPr>
              <w:t xml:space="preserve">           </w:t>
            </w:r>
          </w:p>
        </w:tc>
        <w:tc>
          <w:tcPr>
            <w:tcW w:w="1512" w:type="dxa"/>
            <w:tcBorders>
              <w:top w:val="nil"/>
            </w:tcBorders>
          </w:tcPr>
          <w:p w:rsidR="00564EEE" w:rsidRPr="00564EEE" w:rsidRDefault="00564EEE">
            <w:pPr>
              <w:pStyle w:val="ConsPlusNonformat"/>
              <w:jc w:val="both"/>
            </w:pPr>
            <w:r w:rsidRPr="00564EEE">
              <w:rPr>
                <w:sz w:val="12"/>
              </w:rPr>
              <w:t xml:space="preserve">         3         </w:t>
            </w:r>
          </w:p>
        </w:tc>
        <w:tc>
          <w:tcPr>
            <w:tcW w:w="1008" w:type="dxa"/>
            <w:tcBorders>
              <w:top w:val="nil"/>
            </w:tcBorders>
          </w:tcPr>
          <w:p w:rsidR="00564EEE" w:rsidRPr="00564EEE" w:rsidRDefault="00564EEE">
            <w:pPr>
              <w:pStyle w:val="ConsPlusNonformat"/>
              <w:jc w:val="both"/>
            </w:pPr>
            <w:r w:rsidRPr="00564EEE">
              <w:rPr>
                <w:sz w:val="12"/>
              </w:rPr>
              <w:t xml:space="preserve">     3      </w:t>
            </w:r>
          </w:p>
        </w:tc>
        <w:tc>
          <w:tcPr>
            <w:tcW w:w="1296" w:type="dxa"/>
            <w:tcBorders>
              <w:top w:val="nil"/>
            </w:tcBorders>
          </w:tcPr>
          <w:p w:rsidR="00564EEE" w:rsidRPr="00564EEE" w:rsidRDefault="00564EEE">
            <w:pPr>
              <w:pStyle w:val="ConsPlusNonformat"/>
              <w:jc w:val="both"/>
            </w:pPr>
            <w:r w:rsidRPr="00564EEE">
              <w:rPr>
                <w:sz w:val="12"/>
              </w:rPr>
              <w:t xml:space="preserve">       2        </w:t>
            </w:r>
          </w:p>
        </w:tc>
        <w:tc>
          <w:tcPr>
            <w:tcW w:w="1224" w:type="dxa"/>
            <w:tcBorders>
              <w:top w:val="nil"/>
            </w:tcBorders>
          </w:tcPr>
          <w:p w:rsidR="00564EEE" w:rsidRPr="00564EEE" w:rsidRDefault="00564EEE">
            <w:pPr>
              <w:pStyle w:val="ConsPlusNonformat"/>
              <w:jc w:val="both"/>
            </w:pPr>
            <w:r w:rsidRPr="00564EEE">
              <w:rPr>
                <w:sz w:val="12"/>
              </w:rPr>
              <w:t xml:space="preserve">       5       </w:t>
            </w:r>
          </w:p>
        </w:tc>
        <w:tc>
          <w:tcPr>
            <w:tcW w:w="1080" w:type="dxa"/>
            <w:tcBorders>
              <w:top w:val="nil"/>
            </w:tcBorders>
          </w:tcPr>
          <w:p w:rsidR="00564EEE" w:rsidRPr="00564EEE" w:rsidRDefault="00564EEE">
            <w:pPr>
              <w:pStyle w:val="ConsPlusNonformat"/>
              <w:jc w:val="both"/>
            </w:pPr>
            <w:r w:rsidRPr="00564EEE">
              <w:rPr>
                <w:sz w:val="12"/>
              </w:rPr>
              <w:t xml:space="preserve">      3      </w:t>
            </w:r>
          </w:p>
        </w:tc>
        <w:tc>
          <w:tcPr>
            <w:tcW w:w="1440" w:type="dxa"/>
            <w:tcBorders>
              <w:top w:val="nil"/>
            </w:tcBorders>
          </w:tcPr>
          <w:p w:rsidR="00564EEE" w:rsidRPr="00564EEE" w:rsidRDefault="00564EEE">
            <w:pPr>
              <w:pStyle w:val="ConsPlusNonformat"/>
              <w:jc w:val="both"/>
            </w:pPr>
            <w:r w:rsidRPr="00564EEE">
              <w:rPr>
                <w:sz w:val="12"/>
              </w:rPr>
              <w:t xml:space="preserve">        16        </w:t>
            </w:r>
          </w:p>
        </w:tc>
      </w:tr>
      <w:tr w:rsidR="00564EEE" w:rsidRPr="00564EEE">
        <w:trPr>
          <w:trHeight w:val="140"/>
        </w:trPr>
        <w:tc>
          <w:tcPr>
            <w:tcW w:w="1800" w:type="dxa"/>
            <w:tcBorders>
              <w:top w:val="nil"/>
            </w:tcBorders>
          </w:tcPr>
          <w:p w:rsidR="00564EEE" w:rsidRPr="00564EEE" w:rsidRDefault="00564EEE">
            <w:pPr>
              <w:pStyle w:val="ConsPlusNonformat"/>
              <w:jc w:val="both"/>
            </w:pPr>
            <w:r w:rsidRPr="00564EEE">
              <w:rPr>
                <w:sz w:val="12"/>
              </w:rPr>
              <w:t xml:space="preserve">КЛ 500 </w:t>
            </w:r>
            <w:proofErr w:type="spellStart"/>
            <w:r w:rsidRPr="00564EEE">
              <w:rPr>
                <w:sz w:val="12"/>
              </w:rPr>
              <w:t>кВ</w:t>
            </w:r>
            <w:proofErr w:type="spellEnd"/>
            <w:r w:rsidRPr="00564EEE">
              <w:rPr>
                <w:sz w:val="12"/>
              </w:rPr>
              <w:t xml:space="preserve"> до 50 км     </w:t>
            </w:r>
          </w:p>
        </w:tc>
        <w:tc>
          <w:tcPr>
            <w:tcW w:w="1512" w:type="dxa"/>
            <w:tcBorders>
              <w:top w:val="nil"/>
            </w:tcBorders>
          </w:tcPr>
          <w:p w:rsidR="00564EEE" w:rsidRPr="00564EEE" w:rsidRDefault="00564EEE">
            <w:pPr>
              <w:pStyle w:val="ConsPlusNonformat"/>
              <w:jc w:val="both"/>
            </w:pPr>
            <w:r w:rsidRPr="00564EEE">
              <w:rPr>
                <w:sz w:val="12"/>
              </w:rPr>
              <w:t xml:space="preserve">         5         </w:t>
            </w:r>
          </w:p>
        </w:tc>
        <w:tc>
          <w:tcPr>
            <w:tcW w:w="1008" w:type="dxa"/>
            <w:tcBorders>
              <w:top w:val="nil"/>
            </w:tcBorders>
          </w:tcPr>
          <w:p w:rsidR="00564EEE" w:rsidRPr="00564EEE" w:rsidRDefault="00564EEE">
            <w:pPr>
              <w:pStyle w:val="ConsPlusNonformat"/>
              <w:jc w:val="both"/>
            </w:pPr>
            <w:r w:rsidRPr="00564EEE">
              <w:rPr>
                <w:sz w:val="12"/>
              </w:rPr>
              <w:t xml:space="preserve">     3      </w:t>
            </w:r>
          </w:p>
        </w:tc>
        <w:tc>
          <w:tcPr>
            <w:tcW w:w="1296" w:type="dxa"/>
            <w:tcBorders>
              <w:top w:val="nil"/>
            </w:tcBorders>
          </w:tcPr>
          <w:p w:rsidR="00564EEE" w:rsidRPr="00564EEE" w:rsidRDefault="00564EEE">
            <w:pPr>
              <w:pStyle w:val="ConsPlusNonformat"/>
              <w:jc w:val="both"/>
            </w:pPr>
            <w:r w:rsidRPr="00564EEE">
              <w:rPr>
                <w:sz w:val="12"/>
              </w:rPr>
              <w:t xml:space="preserve">       2        </w:t>
            </w:r>
          </w:p>
        </w:tc>
        <w:tc>
          <w:tcPr>
            <w:tcW w:w="1224" w:type="dxa"/>
            <w:tcBorders>
              <w:top w:val="nil"/>
            </w:tcBorders>
          </w:tcPr>
          <w:p w:rsidR="00564EEE" w:rsidRPr="00564EEE" w:rsidRDefault="00564EEE">
            <w:pPr>
              <w:pStyle w:val="ConsPlusNonformat"/>
              <w:jc w:val="both"/>
            </w:pPr>
            <w:r w:rsidRPr="00564EEE">
              <w:rPr>
                <w:sz w:val="12"/>
              </w:rPr>
              <w:t xml:space="preserve">      10       </w:t>
            </w:r>
          </w:p>
        </w:tc>
        <w:tc>
          <w:tcPr>
            <w:tcW w:w="1080" w:type="dxa"/>
            <w:tcBorders>
              <w:top w:val="nil"/>
            </w:tcBorders>
          </w:tcPr>
          <w:p w:rsidR="00564EEE" w:rsidRPr="00564EEE" w:rsidRDefault="00564EEE">
            <w:pPr>
              <w:pStyle w:val="ConsPlusNonformat"/>
              <w:jc w:val="both"/>
            </w:pPr>
            <w:r w:rsidRPr="00564EEE">
              <w:rPr>
                <w:sz w:val="12"/>
              </w:rPr>
              <w:t xml:space="preserve">     30      </w:t>
            </w:r>
          </w:p>
        </w:tc>
        <w:tc>
          <w:tcPr>
            <w:tcW w:w="1440" w:type="dxa"/>
            <w:tcBorders>
              <w:top w:val="nil"/>
            </w:tcBorders>
          </w:tcPr>
          <w:p w:rsidR="00564EEE" w:rsidRPr="00564EEE" w:rsidRDefault="00564EEE">
            <w:pPr>
              <w:pStyle w:val="ConsPlusNonformat"/>
              <w:jc w:val="both"/>
            </w:pPr>
            <w:r w:rsidRPr="00564EEE">
              <w:rPr>
                <w:sz w:val="12"/>
              </w:rPr>
              <w:t xml:space="preserve">        50        </w:t>
            </w:r>
          </w:p>
        </w:tc>
      </w:tr>
      <w:tr w:rsidR="00564EEE" w:rsidRPr="00564EEE">
        <w:trPr>
          <w:trHeight w:val="140"/>
        </w:trPr>
        <w:tc>
          <w:tcPr>
            <w:tcW w:w="1800" w:type="dxa"/>
            <w:tcBorders>
              <w:top w:val="nil"/>
            </w:tcBorders>
          </w:tcPr>
          <w:p w:rsidR="00564EEE" w:rsidRPr="00564EEE" w:rsidRDefault="00564EEE">
            <w:pPr>
              <w:pStyle w:val="ConsPlusNonformat"/>
              <w:jc w:val="both"/>
            </w:pPr>
            <w:r w:rsidRPr="00564EEE">
              <w:rPr>
                <w:sz w:val="12"/>
              </w:rPr>
              <w:t xml:space="preserve">КЛ 330 </w:t>
            </w:r>
            <w:proofErr w:type="spellStart"/>
            <w:r w:rsidRPr="00564EEE">
              <w:rPr>
                <w:sz w:val="12"/>
              </w:rPr>
              <w:t>кВ</w:t>
            </w:r>
            <w:proofErr w:type="spellEnd"/>
            <w:r w:rsidRPr="00564EEE">
              <w:rPr>
                <w:sz w:val="12"/>
              </w:rPr>
              <w:t xml:space="preserve"> до 50 км     </w:t>
            </w:r>
          </w:p>
        </w:tc>
        <w:tc>
          <w:tcPr>
            <w:tcW w:w="1512" w:type="dxa"/>
            <w:tcBorders>
              <w:top w:val="nil"/>
            </w:tcBorders>
          </w:tcPr>
          <w:p w:rsidR="00564EEE" w:rsidRPr="00564EEE" w:rsidRDefault="00564EEE">
            <w:pPr>
              <w:pStyle w:val="ConsPlusNonformat"/>
              <w:jc w:val="both"/>
            </w:pPr>
            <w:r w:rsidRPr="00564EEE">
              <w:rPr>
                <w:sz w:val="12"/>
              </w:rPr>
              <w:t xml:space="preserve">         5         </w:t>
            </w:r>
          </w:p>
        </w:tc>
        <w:tc>
          <w:tcPr>
            <w:tcW w:w="1008" w:type="dxa"/>
            <w:tcBorders>
              <w:top w:val="nil"/>
            </w:tcBorders>
          </w:tcPr>
          <w:p w:rsidR="00564EEE" w:rsidRPr="00564EEE" w:rsidRDefault="00564EEE">
            <w:pPr>
              <w:pStyle w:val="ConsPlusNonformat"/>
              <w:jc w:val="both"/>
            </w:pPr>
            <w:r w:rsidRPr="00564EEE">
              <w:rPr>
                <w:sz w:val="12"/>
              </w:rPr>
              <w:t xml:space="preserve">     3      </w:t>
            </w:r>
          </w:p>
        </w:tc>
        <w:tc>
          <w:tcPr>
            <w:tcW w:w="1296" w:type="dxa"/>
            <w:tcBorders>
              <w:top w:val="nil"/>
            </w:tcBorders>
          </w:tcPr>
          <w:p w:rsidR="00564EEE" w:rsidRPr="00564EEE" w:rsidRDefault="00564EEE">
            <w:pPr>
              <w:pStyle w:val="ConsPlusNonformat"/>
              <w:jc w:val="both"/>
            </w:pPr>
            <w:r w:rsidRPr="00564EEE">
              <w:rPr>
                <w:sz w:val="12"/>
              </w:rPr>
              <w:t xml:space="preserve">       2        </w:t>
            </w:r>
          </w:p>
        </w:tc>
        <w:tc>
          <w:tcPr>
            <w:tcW w:w="1224" w:type="dxa"/>
            <w:tcBorders>
              <w:top w:val="nil"/>
            </w:tcBorders>
          </w:tcPr>
          <w:p w:rsidR="00564EEE" w:rsidRPr="00564EEE" w:rsidRDefault="00564EEE">
            <w:pPr>
              <w:pStyle w:val="ConsPlusNonformat"/>
              <w:jc w:val="both"/>
            </w:pPr>
            <w:r w:rsidRPr="00564EEE">
              <w:rPr>
                <w:sz w:val="12"/>
              </w:rPr>
              <w:t xml:space="preserve">      10       </w:t>
            </w:r>
          </w:p>
        </w:tc>
        <w:tc>
          <w:tcPr>
            <w:tcW w:w="1080" w:type="dxa"/>
            <w:tcBorders>
              <w:top w:val="nil"/>
            </w:tcBorders>
          </w:tcPr>
          <w:p w:rsidR="00564EEE" w:rsidRPr="00564EEE" w:rsidRDefault="00564EEE">
            <w:pPr>
              <w:pStyle w:val="ConsPlusNonformat"/>
              <w:jc w:val="both"/>
            </w:pPr>
            <w:r w:rsidRPr="00564EEE">
              <w:rPr>
                <w:sz w:val="12"/>
              </w:rPr>
              <w:t xml:space="preserve">     24      </w:t>
            </w:r>
          </w:p>
        </w:tc>
        <w:tc>
          <w:tcPr>
            <w:tcW w:w="1440" w:type="dxa"/>
            <w:tcBorders>
              <w:top w:val="nil"/>
            </w:tcBorders>
          </w:tcPr>
          <w:p w:rsidR="00564EEE" w:rsidRPr="00564EEE" w:rsidRDefault="00564EEE">
            <w:pPr>
              <w:pStyle w:val="ConsPlusNonformat"/>
              <w:jc w:val="both"/>
            </w:pPr>
            <w:r w:rsidRPr="00564EEE">
              <w:rPr>
                <w:sz w:val="12"/>
              </w:rPr>
              <w:t xml:space="preserve">        44        </w:t>
            </w:r>
          </w:p>
        </w:tc>
      </w:tr>
      <w:tr w:rsidR="00564EEE" w:rsidRPr="00564EEE">
        <w:trPr>
          <w:trHeight w:val="140"/>
        </w:trPr>
        <w:tc>
          <w:tcPr>
            <w:tcW w:w="1800" w:type="dxa"/>
            <w:tcBorders>
              <w:top w:val="nil"/>
            </w:tcBorders>
          </w:tcPr>
          <w:p w:rsidR="00564EEE" w:rsidRPr="00564EEE" w:rsidRDefault="00564EEE">
            <w:pPr>
              <w:pStyle w:val="ConsPlusNonformat"/>
              <w:jc w:val="both"/>
            </w:pPr>
            <w:r w:rsidRPr="00564EEE">
              <w:rPr>
                <w:sz w:val="12"/>
              </w:rPr>
              <w:t xml:space="preserve">КЛ 220 </w:t>
            </w:r>
            <w:proofErr w:type="spellStart"/>
            <w:r w:rsidRPr="00564EEE">
              <w:rPr>
                <w:sz w:val="12"/>
              </w:rPr>
              <w:t>кВ</w:t>
            </w:r>
            <w:proofErr w:type="spellEnd"/>
            <w:r w:rsidRPr="00564EEE">
              <w:rPr>
                <w:sz w:val="12"/>
              </w:rPr>
              <w:t xml:space="preserve"> до 50 км     </w:t>
            </w:r>
          </w:p>
        </w:tc>
        <w:tc>
          <w:tcPr>
            <w:tcW w:w="1512" w:type="dxa"/>
            <w:tcBorders>
              <w:top w:val="nil"/>
            </w:tcBorders>
          </w:tcPr>
          <w:p w:rsidR="00564EEE" w:rsidRPr="00564EEE" w:rsidRDefault="00564EEE">
            <w:pPr>
              <w:pStyle w:val="ConsPlusNonformat"/>
              <w:jc w:val="both"/>
            </w:pPr>
            <w:r w:rsidRPr="00564EEE">
              <w:rPr>
                <w:sz w:val="12"/>
              </w:rPr>
              <w:t xml:space="preserve">         3         </w:t>
            </w:r>
          </w:p>
        </w:tc>
        <w:tc>
          <w:tcPr>
            <w:tcW w:w="1008" w:type="dxa"/>
            <w:tcBorders>
              <w:top w:val="nil"/>
            </w:tcBorders>
          </w:tcPr>
          <w:p w:rsidR="00564EEE" w:rsidRPr="00564EEE" w:rsidRDefault="00564EEE">
            <w:pPr>
              <w:pStyle w:val="ConsPlusNonformat"/>
              <w:jc w:val="both"/>
            </w:pPr>
            <w:r w:rsidRPr="00564EEE">
              <w:rPr>
                <w:sz w:val="12"/>
              </w:rPr>
              <w:t xml:space="preserve">     3      </w:t>
            </w:r>
          </w:p>
        </w:tc>
        <w:tc>
          <w:tcPr>
            <w:tcW w:w="1296" w:type="dxa"/>
            <w:tcBorders>
              <w:top w:val="nil"/>
            </w:tcBorders>
          </w:tcPr>
          <w:p w:rsidR="00564EEE" w:rsidRPr="00564EEE" w:rsidRDefault="00564EEE">
            <w:pPr>
              <w:pStyle w:val="ConsPlusNonformat"/>
              <w:jc w:val="both"/>
            </w:pPr>
            <w:r w:rsidRPr="00564EEE">
              <w:rPr>
                <w:sz w:val="12"/>
              </w:rPr>
              <w:t xml:space="preserve">       2        </w:t>
            </w:r>
          </w:p>
        </w:tc>
        <w:tc>
          <w:tcPr>
            <w:tcW w:w="1224" w:type="dxa"/>
            <w:tcBorders>
              <w:top w:val="nil"/>
            </w:tcBorders>
          </w:tcPr>
          <w:p w:rsidR="00564EEE" w:rsidRPr="00564EEE" w:rsidRDefault="00564EEE">
            <w:pPr>
              <w:pStyle w:val="ConsPlusNonformat"/>
              <w:jc w:val="both"/>
            </w:pPr>
            <w:r w:rsidRPr="00564EEE">
              <w:rPr>
                <w:sz w:val="12"/>
              </w:rPr>
              <w:t xml:space="preserve">       9       </w:t>
            </w:r>
          </w:p>
        </w:tc>
        <w:tc>
          <w:tcPr>
            <w:tcW w:w="1080" w:type="dxa"/>
            <w:tcBorders>
              <w:top w:val="nil"/>
            </w:tcBorders>
          </w:tcPr>
          <w:p w:rsidR="00564EEE" w:rsidRPr="00564EEE" w:rsidRDefault="00564EEE">
            <w:pPr>
              <w:pStyle w:val="ConsPlusNonformat"/>
              <w:jc w:val="both"/>
            </w:pPr>
            <w:r w:rsidRPr="00564EEE">
              <w:rPr>
                <w:sz w:val="12"/>
              </w:rPr>
              <w:t xml:space="preserve">     18      </w:t>
            </w:r>
          </w:p>
        </w:tc>
        <w:tc>
          <w:tcPr>
            <w:tcW w:w="1440" w:type="dxa"/>
            <w:tcBorders>
              <w:top w:val="nil"/>
            </w:tcBorders>
          </w:tcPr>
          <w:p w:rsidR="00564EEE" w:rsidRPr="00564EEE" w:rsidRDefault="00564EEE">
            <w:pPr>
              <w:pStyle w:val="ConsPlusNonformat"/>
              <w:jc w:val="both"/>
            </w:pPr>
            <w:r w:rsidRPr="00564EEE">
              <w:rPr>
                <w:sz w:val="12"/>
              </w:rPr>
              <w:t xml:space="preserve">        35        </w:t>
            </w:r>
          </w:p>
        </w:tc>
      </w:tr>
      <w:tr w:rsidR="00564EEE" w:rsidRPr="00564EEE">
        <w:trPr>
          <w:trHeight w:val="140"/>
        </w:trPr>
        <w:tc>
          <w:tcPr>
            <w:tcW w:w="1800" w:type="dxa"/>
            <w:tcBorders>
              <w:top w:val="nil"/>
            </w:tcBorders>
          </w:tcPr>
          <w:p w:rsidR="00564EEE" w:rsidRPr="00564EEE" w:rsidRDefault="00564EEE">
            <w:pPr>
              <w:pStyle w:val="ConsPlusNonformat"/>
              <w:jc w:val="both"/>
            </w:pPr>
            <w:r w:rsidRPr="00564EEE">
              <w:rPr>
                <w:sz w:val="12"/>
              </w:rPr>
              <w:t xml:space="preserve">КЛ 110 </w:t>
            </w:r>
            <w:proofErr w:type="spellStart"/>
            <w:r w:rsidRPr="00564EEE">
              <w:rPr>
                <w:sz w:val="12"/>
              </w:rPr>
              <w:t>кВ</w:t>
            </w:r>
            <w:proofErr w:type="spellEnd"/>
            <w:r w:rsidRPr="00564EEE">
              <w:rPr>
                <w:sz w:val="12"/>
              </w:rPr>
              <w:t xml:space="preserve"> до 50 км     </w:t>
            </w:r>
          </w:p>
        </w:tc>
        <w:tc>
          <w:tcPr>
            <w:tcW w:w="1512" w:type="dxa"/>
            <w:tcBorders>
              <w:top w:val="nil"/>
            </w:tcBorders>
          </w:tcPr>
          <w:p w:rsidR="00564EEE" w:rsidRPr="00564EEE" w:rsidRDefault="00564EEE">
            <w:pPr>
              <w:pStyle w:val="ConsPlusNonformat"/>
              <w:jc w:val="both"/>
            </w:pPr>
            <w:r w:rsidRPr="00564EEE">
              <w:rPr>
                <w:sz w:val="12"/>
              </w:rPr>
              <w:t xml:space="preserve">         3         </w:t>
            </w:r>
          </w:p>
        </w:tc>
        <w:tc>
          <w:tcPr>
            <w:tcW w:w="1008" w:type="dxa"/>
            <w:tcBorders>
              <w:top w:val="nil"/>
            </w:tcBorders>
          </w:tcPr>
          <w:p w:rsidR="00564EEE" w:rsidRPr="00564EEE" w:rsidRDefault="00564EEE">
            <w:pPr>
              <w:pStyle w:val="ConsPlusNonformat"/>
              <w:jc w:val="both"/>
            </w:pPr>
            <w:r w:rsidRPr="00564EEE">
              <w:rPr>
                <w:sz w:val="12"/>
              </w:rPr>
              <w:t xml:space="preserve">     3      </w:t>
            </w:r>
          </w:p>
        </w:tc>
        <w:tc>
          <w:tcPr>
            <w:tcW w:w="1296" w:type="dxa"/>
            <w:tcBorders>
              <w:top w:val="nil"/>
            </w:tcBorders>
          </w:tcPr>
          <w:p w:rsidR="00564EEE" w:rsidRPr="00564EEE" w:rsidRDefault="00564EEE">
            <w:pPr>
              <w:pStyle w:val="ConsPlusNonformat"/>
              <w:jc w:val="both"/>
            </w:pPr>
            <w:r w:rsidRPr="00564EEE">
              <w:rPr>
                <w:sz w:val="12"/>
              </w:rPr>
              <w:t xml:space="preserve">       2        </w:t>
            </w:r>
          </w:p>
        </w:tc>
        <w:tc>
          <w:tcPr>
            <w:tcW w:w="1224" w:type="dxa"/>
            <w:tcBorders>
              <w:top w:val="nil"/>
            </w:tcBorders>
          </w:tcPr>
          <w:p w:rsidR="00564EEE" w:rsidRPr="00564EEE" w:rsidRDefault="00564EEE">
            <w:pPr>
              <w:pStyle w:val="ConsPlusNonformat"/>
              <w:jc w:val="both"/>
            </w:pPr>
            <w:r w:rsidRPr="00564EEE">
              <w:rPr>
                <w:sz w:val="12"/>
              </w:rPr>
              <w:t xml:space="preserve">       8       </w:t>
            </w:r>
          </w:p>
        </w:tc>
        <w:tc>
          <w:tcPr>
            <w:tcW w:w="1080" w:type="dxa"/>
            <w:tcBorders>
              <w:top w:val="nil"/>
            </w:tcBorders>
          </w:tcPr>
          <w:p w:rsidR="00564EEE" w:rsidRPr="00564EEE" w:rsidRDefault="00564EEE">
            <w:pPr>
              <w:pStyle w:val="ConsPlusNonformat"/>
              <w:jc w:val="both"/>
            </w:pPr>
            <w:r w:rsidRPr="00564EEE">
              <w:rPr>
                <w:sz w:val="12"/>
              </w:rPr>
              <w:t xml:space="preserve">     16      </w:t>
            </w:r>
          </w:p>
        </w:tc>
        <w:tc>
          <w:tcPr>
            <w:tcW w:w="1440" w:type="dxa"/>
            <w:tcBorders>
              <w:top w:val="nil"/>
            </w:tcBorders>
          </w:tcPr>
          <w:p w:rsidR="00564EEE" w:rsidRPr="00564EEE" w:rsidRDefault="00564EEE">
            <w:pPr>
              <w:pStyle w:val="ConsPlusNonformat"/>
              <w:jc w:val="both"/>
            </w:pPr>
            <w:r w:rsidRPr="00564EEE">
              <w:rPr>
                <w:sz w:val="12"/>
              </w:rPr>
              <w:t xml:space="preserve">        32        </w:t>
            </w:r>
          </w:p>
        </w:tc>
      </w:tr>
      <w:tr w:rsidR="00564EEE" w:rsidRPr="00564EEE">
        <w:trPr>
          <w:trHeight w:val="140"/>
        </w:trPr>
        <w:tc>
          <w:tcPr>
            <w:tcW w:w="1800" w:type="dxa"/>
            <w:tcBorders>
              <w:top w:val="nil"/>
            </w:tcBorders>
          </w:tcPr>
          <w:p w:rsidR="00564EEE" w:rsidRPr="00564EEE" w:rsidRDefault="00564EEE">
            <w:pPr>
              <w:pStyle w:val="ConsPlusNonformat"/>
              <w:jc w:val="both"/>
            </w:pPr>
            <w:r w:rsidRPr="00564EEE">
              <w:rPr>
                <w:sz w:val="12"/>
              </w:rPr>
              <w:t xml:space="preserve">КЛ 35 </w:t>
            </w:r>
            <w:proofErr w:type="spellStart"/>
            <w:r w:rsidRPr="00564EEE">
              <w:rPr>
                <w:sz w:val="12"/>
              </w:rPr>
              <w:t>кВ</w:t>
            </w:r>
            <w:proofErr w:type="spellEnd"/>
            <w:r w:rsidRPr="00564EEE">
              <w:rPr>
                <w:sz w:val="12"/>
              </w:rPr>
              <w:t xml:space="preserve"> до 50 км      </w:t>
            </w:r>
          </w:p>
        </w:tc>
        <w:tc>
          <w:tcPr>
            <w:tcW w:w="1512" w:type="dxa"/>
            <w:tcBorders>
              <w:top w:val="nil"/>
            </w:tcBorders>
          </w:tcPr>
          <w:p w:rsidR="00564EEE" w:rsidRPr="00564EEE" w:rsidRDefault="00564EEE">
            <w:pPr>
              <w:pStyle w:val="ConsPlusNonformat"/>
              <w:jc w:val="both"/>
            </w:pPr>
            <w:r w:rsidRPr="00564EEE">
              <w:rPr>
                <w:sz w:val="12"/>
              </w:rPr>
              <w:t xml:space="preserve">         3         </w:t>
            </w:r>
          </w:p>
        </w:tc>
        <w:tc>
          <w:tcPr>
            <w:tcW w:w="1008" w:type="dxa"/>
            <w:tcBorders>
              <w:top w:val="nil"/>
            </w:tcBorders>
          </w:tcPr>
          <w:p w:rsidR="00564EEE" w:rsidRPr="00564EEE" w:rsidRDefault="00564EEE">
            <w:pPr>
              <w:pStyle w:val="ConsPlusNonformat"/>
              <w:jc w:val="both"/>
            </w:pPr>
            <w:r w:rsidRPr="00564EEE">
              <w:rPr>
                <w:sz w:val="12"/>
              </w:rPr>
              <w:t xml:space="preserve">     3      </w:t>
            </w:r>
          </w:p>
        </w:tc>
        <w:tc>
          <w:tcPr>
            <w:tcW w:w="1296" w:type="dxa"/>
            <w:tcBorders>
              <w:top w:val="nil"/>
            </w:tcBorders>
          </w:tcPr>
          <w:p w:rsidR="00564EEE" w:rsidRPr="00564EEE" w:rsidRDefault="00564EEE">
            <w:pPr>
              <w:pStyle w:val="ConsPlusNonformat"/>
              <w:jc w:val="both"/>
            </w:pPr>
            <w:r w:rsidRPr="00564EEE">
              <w:rPr>
                <w:sz w:val="12"/>
              </w:rPr>
              <w:t xml:space="preserve">       2        </w:t>
            </w:r>
          </w:p>
        </w:tc>
        <w:tc>
          <w:tcPr>
            <w:tcW w:w="1224" w:type="dxa"/>
            <w:tcBorders>
              <w:top w:val="nil"/>
            </w:tcBorders>
          </w:tcPr>
          <w:p w:rsidR="00564EEE" w:rsidRPr="00564EEE" w:rsidRDefault="00564EEE">
            <w:pPr>
              <w:pStyle w:val="ConsPlusNonformat"/>
              <w:jc w:val="both"/>
            </w:pPr>
            <w:r w:rsidRPr="00564EEE">
              <w:rPr>
                <w:sz w:val="12"/>
              </w:rPr>
              <w:t xml:space="preserve">       8       </w:t>
            </w:r>
          </w:p>
        </w:tc>
        <w:tc>
          <w:tcPr>
            <w:tcW w:w="1080" w:type="dxa"/>
            <w:tcBorders>
              <w:top w:val="nil"/>
            </w:tcBorders>
          </w:tcPr>
          <w:p w:rsidR="00564EEE" w:rsidRPr="00564EEE" w:rsidRDefault="00564EEE">
            <w:pPr>
              <w:pStyle w:val="ConsPlusNonformat"/>
              <w:jc w:val="both"/>
            </w:pPr>
            <w:r w:rsidRPr="00564EEE">
              <w:rPr>
                <w:sz w:val="12"/>
              </w:rPr>
              <w:t xml:space="preserve">     12      </w:t>
            </w:r>
          </w:p>
        </w:tc>
        <w:tc>
          <w:tcPr>
            <w:tcW w:w="1440" w:type="dxa"/>
            <w:tcBorders>
              <w:top w:val="nil"/>
            </w:tcBorders>
          </w:tcPr>
          <w:p w:rsidR="00564EEE" w:rsidRPr="00564EEE" w:rsidRDefault="00564EEE">
            <w:pPr>
              <w:pStyle w:val="ConsPlusNonformat"/>
              <w:jc w:val="both"/>
            </w:pPr>
            <w:r w:rsidRPr="00564EEE">
              <w:rPr>
                <w:sz w:val="12"/>
              </w:rPr>
              <w:t xml:space="preserve">        28        </w:t>
            </w:r>
          </w:p>
        </w:tc>
      </w:tr>
      <w:tr w:rsidR="00564EEE" w:rsidRPr="00564EEE">
        <w:trPr>
          <w:trHeight w:val="140"/>
        </w:trPr>
        <w:tc>
          <w:tcPr>
            <w:tcW w:w="1800" w:type="dxa"/>
            <w:tcBorders>
              <w:top w:val="nil"/>
            </w:tcBorders>
          </w:tcPr>
          <w:p w:rsidR="00564EEE" w:rsidRPr="00564EEE" w:rsidRDefault="00564EEE">
            <w:pPr>
              <w:pStyle w:val="ConsPlusNonformat"/>
              <w:jc w:val="both"/>
            </w:pPr>
            <w:r w:rsidRPr="00564EEE">
              <w:rPr>
                <w:sz w:val="12"/>
              </w:rPr>
              <w:t xml:space="preserve">КЛ 10 </w:t>
            </w:r>
            <w:proofErr w:type="spellStart"/>
            <w:r w:rsidRPr="00564EEE">
              <w:rPr>
                <w:sz w:val="12"/>
              </w:rPr>
              <w:t>кВ</w:t>
            </w:r>
            <w:proofErr w:type="spellEnd"/>
            <w:r w:rsidRPr="00564EEE">
              <w:rPr>
                <w:sz w:val="12"/>
              </w:rPr>
              <w:t xml:space="preserve"> до 50 км      </w:t>
            </w:r>
          </w:p>
        </w:tc>
        <w:tc>
          <w:tcPr>
            <w:tcW w:w="1512" w:type="dxa"/>
            <w:tcBorders>
              <w:top w:val="nil"/>
            </w:tcBorders>
          </w:tcPr>
          <w:p w:rsidR="00564EEE" w:rsidRPr="00564EEE" w:rsidRDefault="00564EEE">
            <w:pPr>
              <w:pStyle w:val="ConsPlusNonformat"/>
              <w:jc w:val="both"/>
            </w:pPr>
            <w:r w:rsidRPr="00564EEE">
              <w:rPr>
                <w:sz w:val="12"/>
              </w:rPr>
              <w:t xml:space="preserve">         3         </w:t>
            </w:r>
          </w:p>
        </w:tc>
        <w:tc>
          <w:tcPr>
            <w:tcW w:w="1008" w:type="dxa"/>
            <w:tcBorders>
              <w:top w:val="nil"/>
            </w:tcBorders>
          </w:tcPr>
          <w:p w:rsidR="00564EEE" w:rsidRPr="00564EEE" w:rsidRDefault="00564EEE">
            <w:pPr>
              <w:pStyle w:val="ConsPlusNonformat"/>
              <w:jc w:val="both"/>
            </w:pPr>
            <w:r w:rsidRPr="00564EEE">
              <w:rPr>
                <w:sz w:val="12"/>
              </w:rPr>
              <w:t xml:space="preserve">     3      </w:t>
            </w:r>
          </w:p>
        </w:tc>
        <w:tc>
          <w:tcPr>
            <w:tcW w:w="1296" w:type="dxa"/>
            <w:tcBorders>
              <w:top w:val="nil"/>
            </w:tcBorders>
          </w:tcPr>
          <w:p w:rsidR="00564EEE" w:rsidRPr="00564EEE" w:rsidRDefault="00564EEE">
            <w:pPr>
              <w:pStyle w:val="ConsPlusNonformat"/>
              <w:jc w:val="both"/>
            </w:pPr>
            <w:r w:rsidRPr="00564EEE">
              <w:rPr>
                <w:sz w:val="12"/>
              </w:rPr>
              <w:t xml:space="preserve">       2        </w:t>
            </w:r>
          </w:p>
        </w:tc>
        <w:tc>
          <w:tcPr>
            <w:tcW w:w="1224" w:type="dxa"/>
            <w:tcBorders>
              <w:top w:val="nil"/>
            </w:tcBorders>
          </w:tcPr>
          <w:p w:rsidR="00564EEE" w:rsidRPr="00564EEE" w:rsidRDefault="00564EEE">
            <w:pPr>
              <w:pStyle w:val="ConsPlusNonformat"/>
              <w:jc w:val="both"/>
            </w:pPr>
            <w:r w:rsidRPr="00564EEE">
              <w:rPr>
                <w:sz w:val="12"/>
              </w:rPr>
              <w:t xml:space="preserve">       5       </w:t>
            </w:r>
          </w:p>
        </w:tc>
        <w:tc>
          <w:tcPr>
            <w:tcW w:w="1080" w:type="dxa"/>
            <w:tcBorders>
              <w:top w:val="nil"/>
            </w:tcBorders>
          </w:tcPr>
          <w:p w:rsidR="00564EEE" w:rsidRPr="00564EEE" w:rsidRDefault="00564EEE">
            <w:pPr>
              <w:pStyle w:val="ConsPlusNonformat"/>
              <w:jc w:val="both"/>
            </w:pPr>
            <w:r w:rsidRPr="00564EEE">
              <w:rPr>
                <w:sz w:val="12"/>
              </w:rPr>
              <w:t xml:space="preserve">     10      </w:t>
            </w:r>
          </w:p>
        </w:tc>
        <w:tc>
          <w:tcPr>
            <w:tcW w:w="1440" w:type="dxa"/>
            <w:tcBorders>
              <w:top w:val="nil"/>
            </w:tcBorders>
          </w:tcPr>
          <w:p w:rsidR="00564EEE" w:rsidRPr="00564EEE" w:rsidRDefault="00564EEE">
            <w:pPr>
              <w:pStyle w:val="ConsPlusNonformat"/>
              <w:jc w:val="both"/>
            </w:pPr>
            <w:r w:rsidRPr="00564EEE">
              <w:rPr>
                <w:sz w:val="12"/>
              </w:rPr>
              <w:t xml:space="preserve">        23        </w:t>
            </w:r>
          </w:p>
        </w:tc>
      </w:tr>
      <w:tr w:rsidR="00564EEE" w:rsidRPr="00564EEE">
        <w:trPr>
          <w:trHeight w:val="140"/>
        </w:trPr>
        <w:tc>
          <w:tcPr>
            <w:tcW w:w="1800" w:type="dxa"/>
            <w:tcBorders>
              <w:top w:val="nil"/>
            </w:tcBorders>
          </w:tcPr>
          <w:p w:rsidR="00564EEE" w:rsidRPr="00564EEE" w:rsidRDefault="00564EEE">
            <w:pPr>
              <w:pStyle w:val="ConsPlusNonformat"/>
              <w:jc w:val="both"/>
            </w:pPr>
            <w:r w:rsidRPr="00564EEE">
              <w:rPr>
                <w:sz w:val="12"/>
              </w:rPr>
              <w:t xml:space="preserve">КЛ 6 </w:t>
            </w:r>
            <w:proofErr w:type="spellStart"/>
            <w:r w:rsidRPr="00564EEE">
              <w:rPr>
                <w:sz w:val="12"/>
              </w:rPr>
              <w:t>кВ</w:t>
            </w:r>
            <w:proofErr w:type="spellEnd"/>
            <w:r w:rsidRPr="00564EEE">
              <w:rPr>
                <w:sz w:val="12"/>
              </w:rPr>
              <w:t xml:space="preserve"> до 50 км       </w:t>
            </w:r>
          </w:p>
        </w:tc>
        <w:tc>
          <w:tcPr>
            <w:tcW w:w="1512" w:type="dxa"/>
            <w:tcBorders>
              <w:top w:val="nil"/>
            </w:tcBorders>
          </w:tcPr>
          <w:p w:rsidR="00564EEE" w:rsidRPr="00564EEE" w:rsidRDefault="00564EEE">
            <w:pPr>
              <w:pStyle w:val="ConsPlusNonformat"/>
              <w:jc w:val="both"/>
            </w:pPr>
            <w:r w:rsidRPr="00564EEE">
              <w:rPr>
                <w:sz w:val="12"/>
              </w:rPr>
              <w:t xml:space="preserve">         3         </w:t>
            </w:r>
          </w:p>
        </w:tc>
        <w:tc>
          <w:tcPr>
            <w:tcW w:w="1008" w:type="dxa"/>
            <w:tcBorders>
              <w:top w:val="nil"/>
            </w:tcBorders>
          </w:tcPr>
          <w:p w:rsidR="00564EEE" w:rsidRPr="00564EEE" w:rsidRDefault="00564EEE">
            <w:pPr>
              <w:pStyle w:val="ConsPlusNonformat"/>
              <w:jc w:val="both"/>
            </w:pPr>
            <w:r w:rsidRPr="00564EEE">
              <w:rPr>
                <w:sz w:val="12"/>
              </w:rPr>
              <w:t xml:space="preserve">     3      </w:t>
            </w:r>
          </w:p>
        </w:tc>
        <w:tc>
          <w:tcPr>
            <w:tcW w:w="1296" w:type="dxa"/>
            <w:tcBorders>
              <w:top w:val="nil"/>
            </w:tcBorders>
          </w:tcPr>
          <w:p w:rsidR="00564EEE" w:rsidRPr="00564EEE" w:rsidRDefault="00564EEE">
            <w:pPr>
              <w:pStyle w:val="ConsPlusNonformat"/>
              <w:jc w:val="both"/>
            </w:pPr>
            <w:r w:rsidRPr="00564EEE">
              <w:rPr>
                <w:sz w:val="12"/>
              </w:rPr>
              <w:t xml:space="preserve">       2        </w:t>
            </w:r>
          </w:p>
        </w:tc>
        <w:tc>
          <w:tcPr>
            <w:tcW w:w="1224" w:type="dxa"/>
            <w:tcBorders>
              <w:top w:val="nil"/>
            </w:tcBorders>
          </w:tcPr>
          <w:p w:rsidR="00564EEE" w:rsidRPr="00564EEE" w:rsidRDefault="00564EEE">
            <w:pPr>
              <w:pStyle w:val="ConsPlusNonformat"/>
              <w:jc w:val="both"/>
            </w:pPr>
            <w:r w:rsidRPr="00564EEE">
              <w:rPr>
                <w:sz w:val="12"/>
              </w:rPr>
              <w:t xml:space="preserve">       5       </w:t>
            </w:r>
          </w:p>
        </w:tc>
        <w:tc>
          <w:tcPr>
            <w:tcW w:w="1080" w:type="dxa"/>
            <w:tcBorders>
              <w:top w:val="nil"/>
            </w:tcBorders>
          </w:tcPr>
          <w:p w:rsidR="00564EEE" w:rsidRPr="00564EEE" w:rsidRDefault="00564EEE">
            <w:pPr>
              <w:pStyle w:val="ConsPlusNonformat"/>
              <w:jc w:val="both"/>
            </w:pPr>
            <w:r w:rsidRPr="00564EEE">
              <w:rPr>
                <w:sz w:val="12"/>
              </w:rPr>
              <w:t xml:space="preserve">     10      </w:t>
            </w:r>
          </w:p>
        </w:tc>
        <w:tc>
          <w:tcPr>
            <w:tcW w:w="1440" w:type="dxa"/>
            <w:tcBorders>
              <w:top w:val="nil"/>
            </w:tcBorders>
          </w:tcPr>
          <w:p w:rsidR="00564EEE" w:rsidRPr="00564EEE" w:rsidRDefault="00564EEE">
            <w:pPr>
              <w:pStyle w:val="ConsPlusNonformat"/>
              <w:jc w:val="both"/>
            </w:pPr>
            <w:r w:rsidRPr="00564EEE">
              <w:rPr>
                <w:sz w:val="12"/>
              </w:rPr>
              <w:t xml:space="preserve">        23        </w:t>
            </w:r>
          </w:p>
        </w:tc>
      </w:tr>
      <w:tr w:rsidR="00564EEE" w:rsidRPr="00564EEE">
        <w:trPr>
          <w:trHeight w:val="140"/>
        </w:trPr>
        <w:tc>
          <w:tcPr>
            <w:tcW w:w="1800" w:type="dxa"/>
            <w:tcBorders>
              <w:top w:val="nil"/>
            </w:tcBorders>
          </w:tcPr>
          <w:p w:rsidR="00564EEE" w:rsidRPr="00564EEE" w:rsidRDefault="00564EEE">
            <w:pPr>
              <w:pStyle w:val="ConsPlusNonformat"/>
              <w:jc w:val="both"/>
            </w:pPr>
            <w:r w:rsidRPr="00564EEE">
              <w:rPr>
                <w:sz w:val="12"/>
              </w:rPr>
              <w:t xml:space="preserve">ПС 500 </w:t>
            </w:r>
            <w:proofErr w:type="spellStart"/>
            <w:r w:rsidRPr="00564EEE">
              <w:rPr>
                <w:sz w:val="12"/>
              </w:rPr>
              <w:t>кВ</w:t>
            </w:r>
            <w:proofErr w:type="spellEnd"/>
            <w:r w:rsidRPr="00564EEE">
              <w:rPr>
                <w:sz w:val="12"/>
              </w:rPr>
              <w:t xml:space="preserve">              </w:t>
            </w:r>
          </w:p>
        </w:tc>
        <w:tc>
          <w:tcPr>
            <w:tcW w:w="1512" w:type="dxa"/>
            <w:tcBorders>
              <w:top w:val="nil"/>
            </w:tcBorders>
          </w:tcPr>
          <w:p w:rsidR="00564EEE" w:rsidRPr="00564EEE" w:rsidRDefault="00564EEE">
            <w:pPr>
              <w:pStyle w:val="ConsPlusNonformat"/>
              <w:jc w:val="both"/>
            </w:pPr>
            <w:r w:rsidRPr="00564EEE">
              <w:rPr>
                <w:sz w:val="12"/>
              </w:rPr>
              <w:t xml:space="preserve">         5         </w:t>
            </w:r>
          </w:p>
        </w:tc>
        <w:tc>
          <w:tcPr>
            <w:tcW w:w="1008" w:type="dxa"/>
            <w:tcBorders>
              <w:top w:val="nil"/>
            </w:tcBorders>
          </w:tcPr>
          <w:p w:rsidR="00564EEE" w:rsidRPr="00564EEE" w:rsidRDefault="00564EEE">
            <w:pPr>
              <w:pStyle w:val="ConsPlusNonformat"/>
              <w:jc w:val="both"/>
            </w:pPr>
            <w:r w:rsidRPr="00564EEE">
              <w:rPr>
                <w:sz w:val="12"/>
              </w:rPr>
              <w:t xml:space="preserve">     3      </w:t>
            </w:r>
          </w:p>
        </w:tc>
        <w:tc>
          <w:tcPr>
            <w:tcW w:w="1296" w:type="dxa"/>
            <w:tcBorders>
              <w:top w:val="nil"/>
            </w:tcBorders>
          </w:tcPr>
          <w:p w:rsidR="00564EEE" w:rsidRPr="00564EEE" w:rsidRDefault="00564EEE">
            <w:pPr>
              <w:pStyle w:val="ConsPlusNonformat"/>
              <w:jc w:val="both"/>
            </w:pPr>
            <w:r w:rsidRPr="00564EEE">
              <w:rPr>
                <w:sz w:val="12"/>
              </w:rPr>
              <w:t xml:space="preserve">       2        </w:t>
            </w:r>
          </w:p>
        </w:tc>
        <w:tc>
          <w:tcPr>
            <w:tcW w:w="1224" w:type="dxa"/>
            <w:tcBorders>
              <w:top w:val="nil"/>
            </w:tcBorders>
          </w:tcPr>
          <w:p w:rsidR="00564EEE" w:rsidRPr="00564EEE" w:rsidRDefault="00564EEE">
            <w:pPr>
              <w:pStyle w:val="ConsPlusNonformat"/>
              <w:jc w:val="both"/>
            </w:pPr>
            <w:r w:rsidRPr="00564EEE">
              <w:rPr>
                <w:sz w:val="12"/>
              </w:rPr>
              <w:t xml:space="preserve">      10       </w:t>
            </w:r>
          </w:p>
        </w:tc>
        <w:tc>
          <w:tcPr>
            <w:tcW w:w="1080" w:type="dxa"/>
            <w:tcBorders>
              <w:top w:val="nil"/>
            </w:tcBorders>
          </w:tcPr>
          <w:p w:rsidR="00564EEE" w:rsidRPr="00564EEE" w:rsidRDefault="00564EEE">
            <w:pPr>
              <w:pStyle w:val="ConsPlusNonformat"/>
              <w:jc w:val="both"/>
            </w:pPr>
            <w:r w:rsidRPr="00564EEE">
              <w:rPr>
                <w:sz w:val="12"/>
              </w:rPr>
              <w:t xml:space="preserve">     28      </w:t>
            </w:r>
          </w:p>
        </w:tc>
        <w:tc>
          <w:tcPr>
            <w:tcW w:w="1440" w:type="dxa"/>
            <w:tcBorders>
              <w:top w:val="nil"/>
            </w:tcBorders>
          </w:tcPr>
          <w:p w:rsidR="00564EEE" w:rsidRPr="00564EEE" w:rsidRDefault="00564EEE">
            <w:pPr>
              <w:pStyle w:val="ConsPlusNonformat"/>
              <w:jc w:val="both"/>
            </w:pPr>
            <w:r w:rsidRPr="00564EEE">
              <w:rPr>
                <w:sz w:val="12"/>
              </w:rPr>
              <w:t xml:space="preserve">        48        </w:t>
            </w:r>
          </w:p>
        </w:tc>
      </w:tr>
      <w:tr w:rsidR="00564EEE" w:rsidRPr="00564EEE">
        <w:trPr>
          <w:trHeight w:val="140"/>
        </w:trPr>
        <w:tc>
          <w:tcPr>
            <w:tcW w:w="1800" w:type="dxa"/>
            <w:tcBorders>
              <w:top w:val="nil"/>
            </w:tcBorders>
          </w:tcPr>
          <w:p w:rsidR="00564EEE" w:rsidRPr="00564EEE" w:rsidRDefault="00564EEE">
            <w:pPr>
              <w:pStyle w:val="ConsPlusNonformat"/>
              <w:jc w:val="both"/>
            </w:pPr>
            <w:r w:rsidRPr="00564EEE">
              <w:rPr>
                <w:sz w:val="12"/>
              </w:rPr>
              <w:t xml:space="preserve">ПС 220 </w:t>
            </w:r>
            <w:proofErr w:type="spellStart"/>
            <w:r w:rsidRPr="00564EEE">
              <w:rPr>
                <w:sz w:val="12"/>
              </w:rPr>
              <w:t>кВ</w:t>
            </w:r>
            <w:proofErr w:type="spellEnd"/>
            <w:r w:rsidRPr="00564EEE">
              <w:rPr>
                <w:sz w:val="12"/>
              </w:rPr>
              <w:t xml:space="preserve">              </w:t>
            </w:r>
          </w:p>
        </w:tc>
        <w:tc>
          <w:tcPr>
            <w:tcW w:w="1512" w:type="dxa"/>
            <w:tcBorders>
              <w:top w:val="nil"/>
            </w:tcBorders>
          </w:tcPr>
          <w:p w:rsidR="00564EEE" w:rsidRPr="00564EEE" w:rsidRDefault="00564EEE">
            <w:pPr>
              <w:pStyle w:val="ConsPlusNonformat"/>
              <w:jc w:val="both"/>
            </w:pPr>
            <w:r w:rsidRPr="00564EEE">
              <w:rPr>
                <w:sz w:val="12"/>
              </w:rPr>
              <w:t xml:space="preserve">         4         </w:t>
            </w:r>
          </w:p>
        </w:tc>
        <w:tc>
          <w:tcPr>
            <w:tcW w:w="1008" w:type="dxa"/>
            <w:tcBorders>
              <w:top w:val="nil"/>
            </w:tcBorders>
          </w:tcPr>
          <w:p w:rsidR="00564EEE" w:rsidRPr="00564EEE" w:rsidRDefault="00564EEE">
            <w:pPr>
              <w:pStyle w:val="ConsPlusNonformat"/>
              <w:jc w:val="both"/>
            </w:pPr>
            <w:r w:rsidRPr="00564EEE">
              <w:rPr>
                <w:sz w:val="12"/>
              </w:rPr>
              <w:t xml:space="preserve">     3      </w:t>
            </w:r>
          </w:p>
        </w:tc>
        <w:tc>
          <w:tcPr>
            <w:tcW w:w="1296" w:type="dxa"/>
            <w:tcBorders>
              <w:top w:val="nil"/>
            </w:tcBorders>
          </w:tcPr>
          <w:p w:rsidR="00564EEE" w:rsidRPr="00564EEE" w:rsidRDefault="00564EEE">
            <w:pPr>
              <w:pStyle w:val="ConsPlusNonformat"/>
              <w:jc w:val="both"/>
            </w:pPr>
            <w:r w:rsidRPr="00564EEE">
              <w:rPr>
                <w:sz w:val="12"/>
              </w:rPr>
              <w:t xml:space="preserve">       2        </w:t>
            </w:r>
          </w:p>
        </w:tc>
        <w:tc>
          <w:tcPr>
            <w:tcW w:w="1224" w:type="dxa"/>
            <w:tcBorders>
              <w:top w:val="nil"/>
            </w:tcBorders>
          </w:tcPr>
          <w:p w:rsidR="00564EEE" w:rsidRPr="00564EEE" w:rsidRDefault="00564EEE">
            <w:pPr>
              <w:pStyle w:val="ConsPlusNonformat"/>
              <w:jc w:val="both"/>
            </w:pPr>
            <w:r w:rsidRPr="00564EEE">
              <w:rPr>
                <w:sz w:val="12"/>
              </w:rPr>
              <w:t xml:space="preserve">       9       </w:t>
            </w:r>
          </w:p>
        </w:tc>
        <w:tc>
          <w:tcPr>
            <w:tcW w:w="1080" w:type="dxa"/>
            <w:tcBorders>
              <w:top w:val="nil"/>
            </w:tcBorders>
          </w:tcPr>
          <w:p w:rsidR="00564EEE" w:rsidRPr="00564EEE" w:rsidRDefault="00564EEE">
            <w:pPr>
              <w:pStyle w:val="ConsPlusNonformat"/>
              <w:jc w:val="both"/>
            </w:pPr>
            <w:r w:rsidRPr="00564EEE">
              <w:rPr>
                <w:sz w:val="12"/>
              </w:rPr>
              <w:t xml:space="preserve">     22      </w:t>
            </w:r>
          </w:p>
        </w:tc>
        <w:tc>
          <w:tcPr>
            <w:tcW w:w="1440" w:type="dxa"/>
            <w:tcBorders>
              <w:top w:val="nil"/>
            </w:tcBorders>
          </w:tcPr>
          <w:p w:rsidR="00564EEE" w:rsidRPr="00564EEE" w:rsidRDefault="00564EEE">
            <w:pPr>
              <w:pStyle w:val="ConsPlusNonformat"/>
              <w:jc w:val="both"/>
            </w:pPr>
            <w:r w:rsidRPr="00564EEE">
              <w:rPr>
                <w:sz w:val="12"/>
              </w:rPr>
              <w:t xml:space="preserve">        40        </w:t>
            </w:r>
          </w:p>
        </w:tc>
      </w:tr>
      <w:tr w:rsidR="00564EEE" w:rsidRPr="00564EEE">
        <w:trPr>
          <w:trHeight w:val="140"/>
        </w:trPr>
        <w:tc>
          <w:tcPr>
            <w:tcW w:w="1800" w:type="dxa"/>
            <w:tcBorders>
              <w:top w:val="nil"/>
            </w:tcBorders>
          </w:tcPr>
          <w:p w:rsidR="00564EEE" w:rsidRPr="00564EEE" w:rsidRDefault="00564EEE">
            <w:pPr>
              <w:pStyle w:val="ConsPlusNonformat"/>
              <w:jc w:val="both"/>
            </w:pPr>
            <w:r w:rsidRPr="00564EEE">
              <w:rPr>
                <w:sz w:val="12"/>
              </w:rPr>
              <w:t xml:space="preserve">ПС 110 </w:t>
            </w:r>
            <w:proofErr w:type="spellStart"/>
            <w:r w:rsidRPr="00564EEE">
              <w:rPr>
                <w:sz w:val="12"/>
              </w:rPr>
              <w:t>кВ</w:t>
            </w:r>
            <w:proofErr w:type="spellEnd"/>
            <w:r w:rsidRPr="00564EEE">
              <w:rPr>
                <w:sz w:val="12"/>
              </w:rPr>
              <w:t xml:space="preserve">              </w:t>
            </w:r>
          </w:p>
        </w:tc>
        <w:tc>
          <w:tcPr>
            <w:tcW w:w="1512" w:type="dxa"/>
            <w:tcBorders>
              <w:top w:val="nil"/>
            </w:tcBorders>
          </w:tcPr>
          <w:p w:rsidR="00564EEE" w:rsidRPr="00564EEE" w:rsidRDefault="00564EEE">
            <w:pPr>
              <w:pStyle w:val="ConsPlusNonformat"/>
              <w:jc w:val="both"/>
            </w:pPr>
            <w:r w:rsidRPr="00564EEE">
              <w:rPr>
                <w:sz w:val="12"/>
              </w:rPr>
              <w:t xml:space="preserve">         4         </w:t>
            </w:r>
          </w:p>
        </w:tc>
        <w:tc>
          <w:tcPr>
            <w:tcW w:w="1008" w:type="dxa"/>
            <w:tcBorders>
              <w:top w:val="nil"/>
            </w:tcBorders>
          </w:tcPr>
          <w:p w:rsidR="00564EEE" w:rsidRPr="00564EEE" w:rsidRDefault="00564EEE">
            <w:pPr>
              <w:pStyle w:val="ConsPlusNonformat"/>
              <w:jc w:val="both"/>
            </w:pPr>
            <w:r w:rsidRPr="00564EEE">
              <w:rPr>
                <w:sz w:val="12"/>
              </w:rPr>
              <w:t xml:space="preserve">     3      </w:t>
            </w:r>
          </w:p>
        </w:tc>
        <w:tc>
          <w:tcPr>
            <w:tcW w:w="1296" w:type="dxa"/>
            <w:tcBorders>
              <w:top w:val="nil"/>
            </w:tcBorders>
          </w:tcPr>
          <w:p w:rsidR="00564EEE" w:rsidRPr="00564EEE" w:rsidRDefault="00564EEE">
            <w:pPr>
              <w:pStyle w:val="ConsPlusNonformat"/>
              <w:jc w:val="both"/>
            </w:pPr>
            <w:r w:rsidRPr="00564EEE">
              <w:rPr>
                <w:sz w:val="12"/>
              </w:rPr>
              <w:t xml:space="preserve">       2        </w:t>
            </w:r>
          </w:p>
        </w:tc>
        <w:tc>
          <w:tcPr>
            <w:tcW w:w="1224" w:type="dxa"/>
            <w:tcBorders>
              <w:top w:val="nil"/>
            </w:tcBorders>
          </w:tcPr>
          <w:p w:rsidR="00564EEE" w:rsidRPr="00564EEE" w:rsidRDefault="00564EEE">
            <w:pPr>
              <w:pStyle w:val="ConsPlusNonformat"/>
              <w:jc w:val="both"/>
            </w:pPr>
            <w:r w:rsidRPr="00564EEE">
              <w:rPr>
                <w:sz w:val="12"/>
              </w:rPr>
              <w:t xml:space="preserve">       8       </w:t>
            </w:r>
          </w:p>
        </w:tc>
        <w:tc>
          <w:tcPr>
            <w:tcW w:w="1080" w:type="dxa"/>
            <w:tcBorders>
              <w:top w:val="nil"/>
            </w:tcBorders>
          </w:tcPr>
          <w:p w:rsidR="00564EEE" w:rsidRPr="00564EEE" w:rsidRDefault="00564EEE">
            <w:pPr>
              <w:pStyle w:val="ConsPlusNonformat"/>
              <w:jc w:val="both"/>
            </w:pPr>
            <w:r w:rsidRPr="00564EEE">
              <w:rPr>
                <w:sz w:val="12"/>
              </w:rPr>
              <w:t xml:space="preserve">     18      </w:t>
            </w:r>
          </w:p>
        </w:tc>
        <w:tc>
          <w:tcPr>
            <w:tcW w:w="1440" w:type="dxa"/>
            <w:tcBorders>
              <w:top w:val="nil"/>
            </w:tcBorders>
          </w:tcPr>
          <w:p w:rsidR="00564EEE" w:rsidRPr="00564EEE" w:rsidRDefault="00564EEE">
            <w:pPr>
              <w:pStyle w:val="ConsPlusNonformat"/>
              <w:jc w:val="both"/>
            </w:pPr>
            <w:r w:rsidRPr="00564EEE">
              <w:rPr>
                <w:sz w:val="12"/>
              </w:rPr>
              <w:t xml:space="preserve">        35        </w:t>
            </w:r>
          </w:p>
        </w:tc>
      </w:tr>
      <w:tr w:rsidR="00564EEE" w:rsidRPr="00564EEE">
        <w:trPr>
          <w:trHeight w:val="140"/>
        </w:trPr>
        <w:tc>
          <w:tcPr>
            <w:tcW w:w="1800" w:type="dxa"/>
            <w:tcBorders>
              <w:top w:val="nil"/>
            </w:tcBorders>
          </w:tcPr>
          <w:p w:rsidR="00564EEE" w:rsidRPr="00564EEE" w:rsidRDefault="00564EEE">
            <w:pPr>
              <w:pStyle w:val="ConsPlusNonformat"/>
              <w:jc w:val="both"/>
            </w:pPr>
            <w:r w:rsidRPr="00564EEE">
              <w:rPr>
                <w:sz w:val="12"/>
              </w:rPr>
              <w:t xml:space="preserve">ПС 35 </w:t>
            </w:r>
            <w:proofErr w:type="spellStart"/>
            <w:r w:rsidRPr="00564EEE">
              <w:rPr>
                <w:sz w:val="12"/>
              </w:rPr>
              <w:t>кВ</w:t>
            </w:r>
            <w:proofErr w:type="spellEnd"/>
            <w:r w:rsidRPr="00564EEE">
              <w:rPr>
                <w:sz w:val="12"/>
              </w:rPr>
              <w:t xml:space="preserve">               </w:t>
            </w:r>
          </w:p>
        </w:tc>
        <w:tc>
          <w:tcPr>
            <w:tcW w:w="1512" w:type="dxa"/>
            <w:tcBorders>
              <w:top w:val="nil"/>
            </w:tcBorders>
          </w:tcPr>
          <w:p w:rsidR="00564EEE" w:rsidRPr="00564EEE" w:rsidRDefault="00564EEE">
            <w:pPr>
              <w:pStyle w:val="ConsPlusNonformat"/>
              <w:jc w:val="both"/>
            </w:pPr>
            <w:r w:rsidRPr="00564EEE">
              <w:rPr>
                <w:sz w:val="12"/>
              </w:rPr>
              <w:t xml:space="preserve">         3         </w:t>
            </w:r>
          </w:p>
        </w:tc>
        <w:tc>
          <w:tcPr>
            <w:tcW w:w="1008" w:type="dxa"/>
            <w:tcBorders>
              <w:top w:val="nil"/>
            </w:tcBorders>
          </w:tcPr>
          <w:p w:rsidR="00564EEE" w:rsidRPr="00564EEE" w:rsidRDefault="00564EEE">
            <w:pPr>
              <w:pStyle w:val="ConsPlusNonformat"/>
              <w:jc w:val="both"/>
            </w:pPr>
            <w:r w:rsidRPr="00564EEE">
              <w:rPr>
                <w:sz w:val="12"/>
              </w:rPr>
              <w:t xml:space="preserve">     3      </w:t>
            </w:r>
          </w:p>
        </w:tc>
        <w:tc>
          <w:tcPr>
            <w:tcW w:w="1296" w:type="dxa"/>
            <w:tcBorders>
              <w:top w:val="nil"/>
            </w:tcBorders>
          </w:tcPr>
          <w:p w:rsidR="00564EEE" w:rsidRPr="00564EEE" w:rsidRDefault="00564EEE">
            <w:pPr>
              <w:pStyle w:val="ConsPlusNonformat"/>
              <w:jc w:val="both"/>
            </w:pPr>
            <w:r w:rsidRPr="00564EEE">
              <w:rPr>
                <w:sz w:val="12"/>
              </w:rPr>
              <w:t xml:space="preserve">       2        </w:t>
            </w:r>
          </w:p>
        </w:tc>
        <w:tc>
          <w:tcPr>
            <w:tcW w:w="1224" w:type="dxa"/>
            <w:tcBorders>
              <w:top w:val="nil"/>
            </w:tcBorders>
          </w:tcPr>
          <w:p w:rsidR="00564EEE" w:rsidRPr="00564EEE" w:rsidRDefault="00564EEE">
            <w:pPr>
              <w:pStyle w:val="ConsPlusNonformat"/>
              <w:jc w:val="both"/>
            </w:pPr>
            <w:r w:rsidRPr="00564EEE">
              <w:rPr>
                <w:sz w:val="12"/>
              </w:rPr>
              <w:t xml:space="preserve">       8       </w:t>
            </w:r>
          </w:p>
        </w:tc>
        <w:tc>
          <w:tcPr>
            <w:tcW w:w="1080" w:type="dxa"/>
            <w:tcBorders>
              <w:top w:val="nil"/>
            </w:tcBorders>
          </w:tcPr>
          <w:p w:rsidR="00564EEE" w:rsidRPr="00564EEE" w:rsidRDefault="00564EEE">
            <w:pPr>
              <w:pStyle w:val="ConsPlusNonformat"/>
              <w:jc w:val="both"/>
            </w:pPr>
            <w:r w:rsidRPr="00564EEE">
              <w:rPr>
                <w:sz w:val="12"/>
              </w:rPr>
              <w:t xml:space="preserve">     12      </w:t>
            </w:r>
          </w:p>
        </w:tc>
        <w:tc>
          <w:tcPr>
            <w:tcW w:w="1440" w:type="dxa"/>
            <w:tcBorders>
              <w:top w:val="nil"/>
            </w:tcBorders>
          </w:tcPr>
          <w:p w:rsidR="00564EEE" w:rsidRPr="00564EEE" w:rsidRDefault="00564EEE">
            <w:pPr>
              <w:pStyle w:val="ConsPlusNonformat"/>
              <w:jc w:val="both"/>
            </w:pPr>
            <w:r w:rsidRPr="00564EEE">
              <w:rPr>
                <w:sz w:val="12"/>
              </w:rPr>
              <w:t xml:space="preserve">        22        </w:t>
            </w:r>
          </w:p>
        </w:tc>
      </w:tr>
    </w:tbl>
    <w:p w:rsidR="00564EEE" w:rsidRPr="00564EEE" w:rsidRDefault="00564EEE">
      <w:pPr>
        <w:pStyle w:val="ConsPlusNormal"/>
        <w:ind w:firstLine="540"/>
        <w:jc w:val="both"/>
      </w:pPr>
    </w:p>
    <w:p w:rsidR="00564EEE" w:rsidRPr="00564EEE" w:rsidRDefault="00564EEE">
      <w:pPr>
        <w:pStyle w:val="ConsPlusNormal"/>
        <w:ind w:firstLine="540"/>
        <w:jc w:val="both"/>
      </w:pPr>
      <w:r w:rsidRPr="00564EEE">
        <w:t>--------------------------------</w:t>
      </w:r>
    </w:p>
    <w:p w:rsidR="00564EEE" w:rsidRPr="00564EEE" w:rsidRDefault="00564EEE">
      <w:pPr>
        <w:pStyle w:val="ConsPlusNormal"/>
        <w:ind w:firstLine="540"/>
        <w:jc w:val="both"/>
      </w:pPr>
      <w:r w:rsidRPr="00564EEE">
        <w:t>Примечание:</w:t>
      </w:r>
    </w:p>
    <w:p w:rsidR="00564EEE" w:rsidRPr="00564EEE" w:rsidRDefault="00564EEE">
      <w:pPr>
        <w:pStyle w:val="ConsPlusNormal"/>
        <w:ind w:firstLine="540"/>
        <w:jc w:val="both"/>
      </w:pPr>
      <w:bookmarkStart w:id="32" w:name="P406"/>
      <w:bookmarkEnd w:id="32"/>
      <w:r w:rsidRPr="00564EEE">
        <w:t>&lt;*&gt; При строительстве объекта в особых условиях сроки строительства определяются с учетом коэффициентов, установленных по согласованию между заявителем и сетевой организацией в рамках предельных значений, указанных в Таблице 2 настоящего приложения.</w:t>
      </w:r>
    </w:p>
    <w:p w:rsidR="00564EEE" w:rsidRPr="00564EEE" w:rsidRDefault="00564EEE">
      <w:pPr>
        <w:pStyle w:val="ConsPlusNormal"/>
        <w:ind w:firstLine="540"/>
        <w:jc w:val="both"/>
      </w:pPr>
    </w:p>
    <w:p w:rsidR="00564EEE" w:rsidRPr="00564EEE" w:rsidRDefault="00564EEE">
      <w:pPr>
        <w:pStyle w:val="ConsPlusNormal"/>
        <w:ind w:firstLine="540"/>
        <w:jc w:val="both"/>
      </w:pPr>
      <w:r w:rsidRPr="00564EEE">
        <w:t xml:space="preserve">2. Коэффициенты к срокам выполнения работ по строительству </w:t>
      </w:r>
      <w:proofErr w:type="gramStart"/>
      <w:r w:rsidRPr="00564EEE">
        <w:t>ВЛ</w:t>
      </w:r>
      <w:proofErr w:type="gramEnd"/>
      <w:r w:rsidRPr="00564EEE">
        <w:t xml:space="preserve"> и ПС, указанным в Таблице 1, для учета усложняющих условий строительства (Таблица 2)</w:t>
      </w:r>
    </w:p>
    <w:p w:rsidR="00564EEE" w:rsidRPr="00564EEE" w:rsidRDefault="00564EEE">
      <w:pPr>
        <w:pStyle w:val="ConsPlusNormal"/>
        <w:ind w:firstLine="540"/>
        <w:jc w:val="both"/>
      </w:pPr>
    </w:p>
    <w:p w:rsidR="00564EEE" w:rsidRPr="00564EEE" w:rsidRDefault="00564EEE">
      <w:pPr>
        <w:pStyle w:val="ConsPlusNormal"/>
        <w:jc w:val="right"/>
      </w:pPr>
      <w:bookmarkStart w:id="33" w:name="P410"/>
      <w:bookmarkEnd w:id="33"/>
      <w:r w:rsidRPr="00564EEE">
        <w:t>Таблица 2</w:t>
      </w:r>
    </w:p>
    <w:p w:rsidR="00564EEE" w:rsidRPr="00564EEE" w:rsidRDefault="00564EE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5520"/>
        <w:gridCol w:w="3000"/>
      </w:tblGrid>
      <w:tr w:rsidR="00564EEE" w:rsidRPr="00564EEE">
        <w:trPr>
          <w:trHeight w:val="240"/>
        </w:trPr>
        <w:tc>
          <w:tcPr>
            <w:tcW w:w="720" w:type="dxa"/>
          </w:tcPr>
          <w:p w:rsidR="00564EEE" w:rsidRPr="00564EEE" w:rsidRDefault="00564EEE">
            <w:pPr>
              <w:pStyle w:val="ConsPlusNonformat"/>
              <w:jc w:val="both"/>
            </w:pPr>
            <w:r w:rsidRPr="00564EEE">
              <w:t xml:space="preserve"> N  </w:t>
            </w:r>
          </w:p>
          <w:p w:rsidR="00564EEE" w:rsidRPr="00564EEE" w:rsidRDefault="00564EEE">
            <w:pPr>
              <w:pStyle w:val="ConsPlusNonformat"/>
              <w:jc w:val="both"/>
            </w:pPr>
            <w:proofErr w:type="gramStart"/>
            <w:r w:rsidRPr="00564EEE">
              <w:t>п</w:t>
            </w:r>
            <w:proofErr w:type="gramEnd"/>
            <w:r w:rsidRPr="00564EEE">
              <w:t xml:space="preserve">/п </w:t>
            </w:r>
          </w:p>
        </w:tc>
        <w:tc>
          <w:tcPr>
            <w:tcW w:w="5520" w:type="dxa"/>
          </w:tcPr>
          <w:p w:rsidR="00564EEE" w:rsidRPr="00564EEE" w:rsidRDefault="00564EEE">
            <w:pPr>
              <w:pStyle w:val="ConsPlusNonformat"/>
              <w:jc w:val="both"/>
            </w:pPr>
            <w:r w:rsidRPr="00564EEE">
              <w:t xml:space="preserve">           Условия строительства            </w:t>
            </w:r>
          </w:p>
        </w:tc>
        <w:tc>
          <w:tcPr>
            <w:tcW w:w="3000" w:type="dxa"/>
          </w:tcPr>
          <w:p w:rsidR="00564EEE" w:rsidRPr="00564EEE" w:rsidRDefault="00564EEE">
            <w:pPr>
              <w:pStyle w:val="ConsPlusNonformat"/>
              <w:jc w:val="both"/>
            </w:pPr>
            <w:r w:rsidRPr="00564EEE">
              <w:t xml:space="preserve">      Коэффициент,     </w:t>
            </w:r>
          </w:p>
          <w:p w:rsidR="00564EEE" w:rsidRPr="00564EEE" w:rsidRDefault="00564EEE">
            <w:pPr>
              <w:pStyle w:val="ConsPlusNonformat"/>
              <w:jc w:val="both"/>
            </w:pPr>
            <w:r w:rsidRPr="00564EEE">
              <w:t xml:space="preserve">  предельное значение  </w:t>
            </w:r>
          </w:p>
        </w:tc>
      </w:tr>
      <w:tr w:rsidR="00564EEE" w:rsidRPr="00564EEE">
        <w:trPr>
          <w:trHeight w:val="240"/>
        </w:trPr>
        <w:tc>
          <w:tcPr>
            <w:tcW w:w="720" w:type="dxa"/>
            <w:tcBorders>
              <w:top w:val="nil"/>
            </w:tcBorders>
          </w:tcPr>
          <w:p w:rsidR="00564EEE" w:rsidRPr="00564EEE" w:rsidRDefault="00564EEE">
            <w:pPr>
              <w:pStyle w:val="ConsPlusNonformat"/>
              <w:jc w:val="both"/>
            </w:pPr>
            <w:r w:rsidRPr="00564EEE">
              <w:t xml:space="preserve"> 1  </w:t>
            </w:r>
          </w:p>
        </w:tc>
        <w:tc>
          <w:tcPr>
            <w:tcW w:w="5520" w:type="dxa"/>
            <w:tcBorders>
              <w:top w:val="nil"/>
            </w:tcBorders>
          </w:tcPr>
          <w:p w:rsidR="00564EEE" w:rsidRPr="00564EEE" w:rsidRDefault="00564EEE">
            <w:pPr>
              <w:pStyle w:val="ConsPlusNonformat"/>
              <w:jc w:val="both"/>
            </w:pPr>
            <w:r w:rsidRPr="00564EEE">
              <w:t xml:space="preserve">Горные условия                              </w:t>
            </w:r>
          </w:p>
        </w:tc>
        <w:tc>
          <w:tcPr>
            <w:tcW w:w="3000" w:type="dxa"/>
            <w:tcBorders>
              <w:top w:val="nil"/>
            </w:tcBorders>
          </w:tcPr>
          <w:p w:rsidR="00564EEE" w:rsidRPr="00564EEE" w:rsidRDefault="00564EEE">
            <w:pPr>
              <w:pStyle w:val="ConsPlusNonformat"/>
              <w:jc w:val="both"/>
            </w:pPr>
            <w:r w:rsidRPr="00564EEE">
              <w:t xml:space="preserve">          1,3          </w:t>
            </w:r>
          </w:p>
        </w:tc>
      </w:tr>
      <w:tr w:rsidR="00564EEE" w:rsidRPr="00564EEE">
        <w:trPr>
          <w:trHeight w:val="240"/>
        </w:trPr>
        <w:tc>
          <w:tcPr>
            <w:tcW w:w="720" w:type="dxa"/>
            <w:tcBorders>
              <w:top w:val="nil"/>
            </w:tcBorders>
          </w:tcPr>
          <w:p w:rsidR="00564EEE" w:rsidRPr="00564EEE" w:rsidRDefault="00564EEE">
            <w:pPr>
              <w:pStyle w:val="ConsPlusNonformat"/>
              <w:jc w:val="both"/>
            </w:pPr>
            <w:r w:rsidRPr="00564EEE">
              <w:t xml:space="preserve"> 2  </w:t>
            </w:r>
          </w:p>
        </w:tc>
        <w:tc>
          <w:tcPr>
            <w:tcW w:w="5520" w:type="dxa"/>
            <w:tcBorders>
              <w:top w:val="nil"/>
            </w:tcBorders>
          </w:tcPr>
          <w:p w:rsidR="00564EEE" w:rsidRPr="00564EEE" w:rsidRDefault="00564EEE">
            <w:pPr>
              <w:pStyle w:val="ConsPlusNonformat"/>
              <w:jc w:val="both"/>
            </w:pPr>
            <w:r w:rsidRPr="00564EEE">
              <w:t xml:space="preserve">Условия городской промышленной застройки    </w:t>
            </w:r>
          </w:p>
        </w:tc>
        <w:tc>
          <w:tcPr>
            <w:tcW w:w="3000" w:type="dxa"/>
            <w:tcBorders>
              <w:top w:val="nil"/>
            </w:tcBorders>
          </w:tcPr>
          <w:p w:rsidR="00564EEE" w:rsidRPr="00564EEE" w:rsidRDefault="00564EEE">
            <w:pPr>
              <w:pStyle w:val="ConsPlusNonformat"/>
              <w:jc w:val="both"/>
            </w:pPr>
            <w:r w:rsidRPr="00564EEE">
              <w:t xml:space="preserve">          1,6          </w:t>
            </w:r>
          </w:p>
        </w:tc>
      </w:tr>
      <w:tr w:rsidR="00564EEE" w:rsidRPr="00564EEE">
        <w:trPr>
          <w:trHeight w:val="240"/>
        </w:trPr>
        <w:tc>
          <w:tcPr>
            <w:tcW w:w="720" w:type="dxa"/>
            <w:tcBorders>
              <w:top w:val="nil"/>
            </w:tcBorders>
          </w:tcPr>
          <w:p w:rsidR="00564EEE" w:rsidRPr="00564EEE" w:rsidRDefault="00564EEE">
            <w:pPr>
              <w:pStyle w:val="ConsPlusNonformat"/>
              <w:jc w:val="both"/>
            </w:pPr>
            <w:r w:rsidRPr="00564EEE">
              <w:t xml:space="preserve"> 3  </w:t>
            </w:r>
          </w:p>
        </w:tc>
        <w:tc>
          <w:tcPr>
            <w:tcW w:w="5520" w:type="dxa"/>
            <w:tcBorders>
              <w:top w:val="nil"/>
            </w:tcBorders>
          </w:tcPr>
          <w:p w:rsidR="00564EEE" w:rsidRPr="00564EEE" w:rsidRDefault="00564EEE">
            <w:pPr>
              <w:pStyle w:val="ConsPlusNonformat"/>
              <w:jc w:val="both"/>
            </w:pPr>
            <w:r w:rsidRPr="00564EEE">
              <w:t xml:space="preserve">На болотистых трассах                       </w:t>
            </w:r>
          </w:p>
        </w:tc>
        <w:tc>
          <w:tcPr>
            <w:tcW w:w="3000" w:type="dxa"/>
            <w:tcBorders>
              <w:top w:val="nil"/>
            </w:tcBorders>
          </w:tcPr>
          <w:p w:rsidR="00564EEE" w:rsidRPr="00564EEE" w:rsidRDefault="00564EEE">
            <w:pPr>
              <w:pStyle w:val="ConsPlusNonformat"/>
              <w:jc w:val="both"/>
            </w:pPr>
            <w:r w:rsidRPr="00564EEE">
              <w:t xml:space="preserve">          1,16         </w:t>
            </w:r>
          </w:p>
        </w:tc>
      </w:tr>
      <w:tr w:rsidR="00564EEE" w:rsidRPr="00564EEE">
        <w:trPr>
          <w:trHeight w:val="240"/>
        </w:trPr>
        <w:tc>
          <w:tcPr>
            <w:tcW w:w="720" w:type="dxa"/>
            <w:tcBorders>
              <w:top w:val="nil"/>
            </w:tcBorders>
          </w:tcPr>
          <w:p w:rsidR="00564EEE" w:rsidRPr="00564EEE" w:rsidRDefault="00564EEE">
            <w:pPr>
              <w:pStyle w:val="ConsPlusNonformat"/>
              <w:jc w:val="both"/>
            </w:pPr>
            <w:r w:rsidRPr="00564EEE">
              <w:t xml:space="preserve"> 4  </w:t>
            </w:r>
          </w:p>
        </w:tc>
        <w:tc>
          <w:tcPr>
            <w:tcW w:w="5520" w:type="dxa"/>
            <w:tcBorders>
              <w:top w:val="nil"/>
            </w:tcBorders>
          </w:tcPr>
          <w:p w:rsidR="00564EEE" w:rsidRPr="00564EEE" w:rsidRDefault="00564EEE">
            <w:pPr>
              <w:pStyle w:val="ConsPlusNonformat"/>
              <w:jc w:val="both"/>
            </w:pPr>
            <w:r w:rsidRPr="00564EEE">
              <w:t xml:space="preserve">В пойме рек                                 </w:t>
            </w:r>
          </w:p>
        </w:tc>
        <w:tc>
          <w:tcPr>
            <w:tcW w:w="3000" w:type="dxa"/>
            <w:tcBorders>
              <w:top w:val="nil"/>
            </w:tcBorders>
          </w:tcPr>
          <w:p w:rsidR="00564EEE" w:rsidRPr="00564EEE" w:rsidRDefault="00564EEE">
            <w:pPr>
              <w:pStyle w:val="ConsPlusNonformat"/>
              <w:jc w:val="both"/>
            </w:pPr>
            <w:r w:rsidRPr="00564EEE">
              <w:t xml:space="preserve">          1,09         </w:t>
            </w:r>
          </w:p>
        </w:tc>
      </w:tr>
    </w:tbl>
    <w:p w:rsidR="00564EEE" w:rsidRPr="00564EEE" w:rsidRDefault="00564EEE">
      <w:pPr>
        <w:pStyle w:val="ConsPlusNormal"/>
        <w:ind w:firstLine="540"/>
        <w:jc w:val="both"/>
      </w:pPr>
    </w:p>
    <w:p w:rsidR="00564EEE" w:rsidRPr="00564EEE" w:rsidRDefault="00564EEE">
      <w:pPr>
        <w:pStyle w:val="ConsPlusNormal"/>
        <w:ind w:firstLine="540"/>
        <w:jc w:val="both"/>
      </w:pPr>
      <w:r w:rsidRPr="00564EEE">
        <w:lastRenderedPageBreak/>
        <w:t xml:space="preserve">3. Сроки реконструкции ПС напряжением 35 - 500 </w:t>
      </w:r>
      <w:proofErr w:type="spellStart"/>
      <w:r w:rsidRPr="00564EEE">
        <w:t>кВ</w:t>
      </w:r>
      <w:proofErr w:type="spellEnd"/>
      <w:r w:rsidRPr="00564EEE">
        <w:t>, в месяцах (Таблица 3)</w:t>
      </w:r>
    </w:p>
    <w:p w:rsidR="00564EEE" w:rsidRPr="00564EEE" w:rsidRDefault="00564EEE">
      <w:pPr>
        <w:pStyle w:val="ConsPlusNormal"/>
        <w:ind w:firstLine="540"/>
        <w:jc w:val="both"/>
      </w:pPr>
    </w:p>
    <w:p w:rsidR="00564EEE" w:rsidRPr="00564EEE" w:rsidRDefault="00564EEE">
      <w:pPr>
        <w:pStyle w:val="ConsPlusNormal"/>
        <w:jc w:val="right"/>
      </w:pPr>
      <w:r w:rsidRPr="00564EEE">
        <w:t>Таблица 3</w:t>
      </w:r>
    </w:p>
    <w:p w:rsidR="00564EEE" w:rsidRPr="00564EEE" w:rsidRDefault="00564EE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800"/>
        <w:gridCol w:w="1512"/>
        <w:gridCol w:w="1008"/>
        <w:gridCol w:w="1296"/>
        <w:gridCol w:w="1152"/>
        <w:gridCol w:w="1152"/>
        <w:gridCol w:w="1440"/>
      </w:tblGrid>
      <w:tr w:rsidR="00564EEE" w:rsidRPr="00564EEE">
        <w:trPr>
          <w:trHeight w:val="140"/>
        </w:trPr>
        <w:tc>
          <w:tcPr>
            <w:tcW w:w="1800" w:type="dxa"/>
          </w:tcPr>
          <w:p w:rsidR="00564EEE" w:rsidRPr="00564EEE" w:rsidRDefault="00564EEE">
            <w:pPr>
              <w:pStyle w:val="ConsPlusNonformat"/>
              <w:jc w:val="both"/>
            </w:pPr>
            <w:r w:rsidRPr="00564EEE">
              <w:rPr>
                <w:sz w:val="12"/>
              </w:rPr>
              <w:t xml:space="preserve">        Объект         </w:t>
            </w:r>
          </w:p>
        </w:tc>
        <w:tc>
          <w:tcPr>
            <w:tcW w:w="1512" w:type="dxa"/>
          </w:tcPr>
          <w:p w:rsidR="00564EEE" w:rsidRPr="00564EEE" w:rsidRDefault="00564EEE">
            <w:pPr>
              <w:pStyle w:val="ConsPlusNonformat"/>
              <w:jc w:val="both"/>
            </w:pPr>
            <w:r w:rsidRPr="00564EEE">
              <w:rPr>
                <w:sz w:val="12"/>
              </w:rPr>
              <w:t xml:space="preserve">    Разработка     </w:t>
            </w:r>
          </w:p>
          <w:p w:rsidR="00564EEE" w:rsidRPr="00564EEE" w:rsidRDefault="00564EEE">
            <w:pPr>
              <w:pStyle w:val="ConsPlusNonformat"/>
              <w:jc w:val="both"/>
            </w:pPr>
            <w:r w:rsidRPr="00564EEE">
              <w:rPr>
                <w:sz w:val="12"/>
              </w:rPr>
              <w:t xml:space="preserve">   технического    </w:t>
            </w:r>
          </w:p>
          <w:p w:rsidR="00564EEE" w:rsidRPr="00564EEE" w:rsidRDefault="00564EEE">
            <w:pPr>
              <w:pStyle w:val="ConsPlusNonformat"/>
              <w:jc w:val="both"/>
            </w:pPr>
            <w:r w:rsidRPr="00564EEE">
              <w:rPr>
                <w:sz w:val="12"/>
              </w:rPr>
              <w:t xml:space="preserve">  задания, выбор   </w:t>
            </w:r>
          </w:p>
          <w:p w:rsidR="00564EEE" w:rsidRPr="00564EEE" w:rsidRDefault="00564EEE">
            <w:pPr>
              <w:pStyle w:val="ConsPlusNonformat"/>
              <w:jc w:val="both"/>
            </w:pPr>
            <w:r w:rsidRPr="00564EEE">
              <w:rPr>
                <w:sz w:val="12"/>
              </w:rPr>
              <w:t xml:space="preserve">     проектной     </w:t>
            </w:r>
          </w:p>
          <w:p w:rsidR="00564EEE" w:rsidRPr="00564EEE" w:rsidRDefault="00564EEE">
            <w:pPr>
              <w:pStyle w:val="ConsPlusNonformat"/>
              <w:jc w:val="both"/>
            </w:pPr>
            <w:r w:rsidRPr="00564EEE">
              <w:rPr>
                <w:sz w:val="12"/>
              </w:rPr>
              <w:t xml:space="preserve">  организации </w:t>
            </w:r>
            <w:proofErr w:type="gramStart"/>
            <w:r w:rsidRPr="00564EEE">
              <w:rPr>
                <w:sz w:val="12"/>
              </w:rPr>
              <w:t>по</w:t>
            </w:r>
            <w:proofErr w:type="gramEnd"/>
            <w:r w:rsidRPr="00564EEE">
              <w:rPr>
                <w:sz w:val="12"/>
              </w:rPr>
              <w:t xml:space="preserve">   </w:t>
            </w:r>
          </w:p>
          <w:p w:rsidR="00564EEE" w:rsidRPr="00564EEE" w:rsidRDefault="00564EEE">
            <w:pPr>
              <w:pStyle w:val="ConsPlusNonformat"/>
              <w:jc w:val="both"/>
            </w:pPr>
            <w:r w:rsidRPr="00564EEE">
              <w:rPr>
                <w:sz w:val="12"/>
              </w:rPr>
              <w:t xml:space="preserve"> итогам </w:t>
            </w:r>
            <w:proofErr w:type="gramStart"/>
            <w:r w:rsidRPr="00564EEE">
              <w:rPr>
                <w:sz w:val="12"/>
              </w:rPr>
              <w:t>закупочных</w:t>
            </w:r>
            <w:proofErr w:type="gramEnd"/>
            <w:r w:rsidRPr="00564EEE">
              <w:rPr>
                <w:sz w:val="12"/>
              </w:rPr>
              <w:t xml:space="preserve"> </w:t>
            </w:r>
          </w:p>
          <w:p w:rsidR="00564EEE" w:rsidRPr="00564EEE" w:rsidRDefault="00564EEE">
            <w:pPr>
              <w:pStyle w:val="ConsPlusNonformat"/>
              <w:jc w:val="both"/>
            </w:pPr>
            <w:r w:rsidRPr="00564EEE">
              <w:rPr>
                <w:sz w:val="12"/>
              </w:rPr>
              <w:t xml:space="preserve">     процедур,     </w:t>
            </w:r>
          </w:p>
          <w:p w:rsidR="00564EEE" w:rsidRPr="00564EEE" w:rsidRDefault="00564EEE">
            <w:pPr>
              <w:pStyle w:val="ConsPlusNonformat"/>
              <w:jc w:val="both"/>
            </w:pPr>
            <w:r w:rsidRPr="00564EEE">
              <w:rPr>
                <w:sz w:val="12"/>
              </w:rPr>
              <w:t>заключение договора</w:t>
            </w:r>
          </w:p>
          <w:p w:rsidR="00564EEE" w:rsidRPr="00564EEE" w:rsidRDefault="00564EEE">
            <w:pPr>
              <w:pStyle w:val="ConsPlusNonformat"/>
              <w:jc w:val="both"/>
            </w:pPr>
            <w:r w:rsidRPr="00564EEE">
              <w:rPr>
                <w:sz w:val="12"/>
              </w:rPr>
              <w:t xml:space="preserve"> на проектирование </w:t>
            </w:r>
          </w:p>
        </w:tc>
        <w:tc>
          <w:tcPr>
            <w:tcW w:w="1008" w:type="dxa"/>
          </w:tcPr>
          <w:p w:rsidR="00564EEE" w:rsidRPr="00564EEE" w:rsidRDefault="00564EEE">
            <w:pPr>
              <w:pStyle w:val="ConsPlusNonformat"/>
              <w:jc w:val="both"/>
            </w:pPr>
            <w:r w:rsidRPr="00564EEE">
              <w:rPr>
                <w:sz w:val="12"/>
              </w:rPr>
              <w:t xml:space="preserve"> Разработка </w:t>
            </w:r>
          </w:p>
          <w:p w:rsidR="00564EEE" w:rsidRPr="00564EEE" w:rsidRDefault="00564EEE">
            <w:pPr>
              <w:pStyle w:val="ConsPlusNonformat"/>
              <w:jc w:val="both"/>
            </w:pPr>
            <w:r w:rsidRPr="00564EEE">
              <w:rPr>
                <w:sz w:val="12"/>
              </w:rPr>
              <w:t xml:space="preserve"> проектной  </w:t>
            </w:r>
          </w:p>
          <w:p w:rsidR="00564EEE" w:rsidRPr="00564EEE" w:rsidRDefault="00564EEE">
            <w:pPr>
              <w:pStyle w:val="ConsPlusNonformat"/>
              <w:jc w:val="both"/>
            </w:pPr>
            <w:r w:rsidRPr="00564EEE">
              <w:rPr>
                <w:sz w:val="12"/>
              </w:rPr>
              <w:t>документации</w:t>
            </w:r>
          </w:p>
        </w:tc>
        <w:tc>
          <w:tcPr>
            <w:tcW w:w="1296" w:type="dxa"/>
          </w:tcPr>
          <w:p w:rsidR="00564EEE" w:rsidRPr="00564EEE" w:rsidRDefault="00564EEE">
            <w:pPr>
              <w:pStyle w:val="ConsPlusNonformat"/>
              <w:jc w:val="both"/>
            </w:pPr>
            <w:r w:rsidRPr="00564EEE">
              <w:rPr>
                <w:sz w:val="12"/>
              </w:rPr>
              <w:t xml:space="preserve">  Согласование  </w:t>
            </w:r>
          </w:p>
          <w:p w:rsidR="00564EEE" w:rsidRPr="00564EEE" w:rsidRDefault="00564EEE">
            <w:pPr>
              <w:pStyle w:val="ConsPlusNonformat"/>
              <w:jc w:val="both"/>
            </w:pPr>
            <w:r w:rsidRPr="00564EEE">
              <w:rPr>
                <w:sz w:val="12"/>
              </w:rPr>
              <w:t xml:space="preserve">   проектной    </w:t>
            </w:r>
          </w:p>
          <w:p w:rsidR="00564EEE" w:rsidRPr="00564EEE" w:rsidRDefault="00564EEE">
            <w:pPr>
              <w:pStyle w:val="ConsPlusNonformat"/>
              <w:jc w:val="both"/>
            </w:pPr>
            <w:r w:rsidRPr="00564EEE">
              <w:rPr>
                <w:sz w:val="12"/>
              </w:rPr>
              <w:t xml:space="preserve"> документации </w:t>
            </w:r>
            <w:proofErr w:type="gramStart"/>
            <w:r w:rsidRPr="00564EEE">
              <w:rPr>
                <w:sz w:val="12"/>
              </w:rPr>
              <w:t>с</w:t>
            </w:r>
            <w:proofErr w:type="gramEnd"/>
            <w:r w:rsidRPr="00564EEE">
              <w:rPr>
                <w:sz w:val="12"/>
              </w:rPr>
              <w:t xml:space="preserve"> </w:t>
            </w:r>
          </w:p>
          <w:p w:rsidR="00564EEE" w:rsidRPr="00564EEE" w:rsidRDefault="00564EEE">
            <w:pPr>
              <w:pStyle w:val="ConsPlusNonformat"/>
              <w:jc w:val="both"/>
            </w:pPr>
            <w:r w:rsidRPr="00564EEE">
              <w:rPr>
                <w:sz w:val="12"/>
              </w:rPr>
              <w:t xml:space="preserve">   системным    </w:t>
            </w:r>
          </w:p>
          <w:p w:rsidR="00564EEE" w:rsidRPr="00564EEE" w:rsidRDefault="00564EEE">
            <w:pPr>
              <w:pStyle w:val="ConsPlusNonformat"/>
              <w:jc w:val="both"/>
            </w:pPr>
            <w:r w:rsidRPr="00564EEE">
              <w:rPr>
                <w:sz w:val="12"/>
              </w:rPr>
              <w:t xml:space="preserve">  оператором и  </w:t>
            </w:r>
          </w:p>
          <w:p w:rsidR="00564EEE" w:rsidRPr="00564EEE" w:rsidRDefault="00564EEE">
            <w:pPr>
              <w:pStyle w:val="ConsPlusNonformat"/>
              <w:jc w:val="both"/>
            </w:pPr>
            <w:r w:rsidRPr="00564EEE">
              <w:rPr>
                <w:sz w:val="12"/>
              </w:rPr>
              <w:t xml:space="preserve">    смежными    </w:t>
            </w:r>
          </w:p>
          <w:p w:rsidR="00564EEE" w:rsidRPr="00564EEE" w:rsidRDefault="00564EEE">
            <w:pPr>
              <w:pStyle w:val="ConsPlusNonformat"/>
              <w:jc w:val="both"/>
            </w:pPr>
            <w:r w:rsidRPr="00564EEE">
              <w:rPr>
                <w:sz w:val="12"/>
              </w:rPr>
              <w:t xml:space="preserve">    сетевыми    </w:t>
            </w:r>
          </w:p>
          <w:p w:rsidR="00564EEE" w:rsidRPr="00564EEE" w:rsidRDefault="00564EEE">
            <w:pPr>
              <w:pStyle w:val="ConsPlusNonformat"/>
              <w:jc w:val="both"/>
            </w:pPr>
            <w:r w:rsidRPr="00564EEE">
              <w:rPr>
                <w:sz w:val="12"/>
              </w:rPr>
              <w:t xml:space="preserve"> организациями  </w:t>
            </w:r>
          </w:p>
        </w:tc>
        <w:tc>
          <w:tcPr>
            <w:tcW w:w="1152" w:type="dxa"/>
          </w:tcPr>
          <w:p w:rsidR="00564EEE" w:rsidRPr="00564EEE" w:rsidRDefault="00564EEE">
            <w:pPr>
              <w:pStyle w:val="ConsPlusNonformat"/>
              <w:jc w:val="both"/>
            </w:pPr>
            <w:r w:rsidRPr="00564EEE">
              <w:rPr>
                <w:sz w:val="12"/>
              </w:rPr>
              <w:t xml:space="preserve">  Разработка  </w:t>
            </w:r>
          </w:p>
          <w:p w:rsidR="00564EEE" w:rsidRPr="00564EEE" w:rsidRDefault="00564EEE">
            <w:pPr>
              <w:pStyle w:val="ConsPlusNonformat"/>
              <w:jc w:val="both"/>
            </w:pPr>
            <w:r w:rsidRPr="00564EEE">
              <w:rPr>
                <w:sz w:val="12"/>
              </w:rPr>
              <w:t xml:space="preserve">  закупочной  </w:t>
            </w:r>
          </w:p>
          <w:p w:rsidR="00564EEE" w:rsidRPr="00564EEE" w:rsidRDefault="00564EEE">
            <w:pPr>
              <w:pStyle w:val="ConsPlusNonformat"/>
              <w:jc w:val="both"/>
            </w:pPr>
            <w:r w:rsidRPr="00564EEE">
              <w:rPr>
                <w:sz w:val="12"/>
              </w:rPr>
              <w:t xml:space="preserve"> документации </w:t>
            </w:r>
          </w:p>
          <w:p w:rsidR="00564EEE" w:rsidRPr="00564EEE" w:rsidRDefault="00564EEE">
            <w:pPr>
              <w:pStyle w:val="ConsPlusNonformat"/>
              <w:jc w:val="both"/>
            </w:pPr>
            <w:r w:rsidRPr="00564EEE">
              <w:rPr>
                <w:sz w:val="12"/>
              </w:rPr>
              <w:t xml:space="preserve">      на      </w:t>
            </w:r>
          </w:p>
          <w:p w:rsidR="00564EEE" w:rsidRPr="00564EEE" w:rsidRDefault="00564EEE">
            <w:pPr>
              <w:pStyle w:val="ConsPlusNonformat"/>
              <w:jc w:val="both"/>
            </w:pPr>
            <w:r w:rsidRPr="00564EEE">
              <w:rPr>
                <w:sz w:val="12"/>
              </w:rPr>
              <w:t>строительство,</w:t>
            </w:r>
          </w:p>
          <w:p w:rsidR="00564EEE" w:rsidRPr="00564EEE" w:rsidRDefault="00564EEE">
            <w:pPr>
              <w:pStyle w:val="ConsPlusNonformat"/>
              <w:jc w:val="both"/>
            </w:pPr>
            <w:r w:rsidRPr="00564EEE">
              <w:rPr>
                <w:sz w:val="12"/>
              </w:rPr>
              <w:t xml:space="preserve">  проведение  </w:t>
            </w:r>
          </w:p>
          <w:p w:rsidR="00564EEE" w:rsidRPr="00564EEE" w:rsidRDefault="00564EEE">
            <w:pPr>
              <w:pStyle w:val="ConsPlusNonformat"/>
              <w:jc w:val="both"/>
            </w:pPr>
            <w:r w:rsidRPr="00564EEE">
              <w:rPr>
                <w:sz w:val="12"/>
              </w:rPr>
              <w:t xml:space="preserve">  закупочных  </w:t>
            </w:r>
          </w:p>
          <w:p w:rsidR="00564EEE" w:rsidRPr="00564EEE" w:rsidRDefault="00564EEE">
            <w:pPr>
              <w:pStyle w:val="ConsPlusNonformat"/>
              <w:jc w:val="both"/>
            </w:pPr>
            <w:r w:rsidRPr="00564EEE">
              <w:rPr>
                <w:sz w:val="12"/>
              </w:rPr>
              <w:t xml:space="preserve"> процедур </w:t>
            </w:r>
            <w:proofErr w:type="gramStart"/>
            <w:r w:rsidRPr="00564EEE">
              <w:rPr>
                <w:sz w:val="12"/>
              </w:rPr>
              <w:t>на</w:t>
            </w:r>
            <w:proofErr w:type="gramEnd"/>
            <w:r w:rsidRPr="00564EEE">
              <w:rPr>
                <w:sz w:val="12"/>
              </w:rPr>
              <w:t xml:space="preserve">  </w:t>
            </w:r>
          </w:p>
          <w:p w:rsidR="00564EEE" w:rsidRPr="00564EEE" w:rsidRDefault="00564EEE">
            <w:pPr>
              <w:pStyle w:val="ConsPlusNonformat"/>
              <w:jc w:val="both"/>
            </w:pPr>
            <w:r w:rsidRPr="00564EEE">
              <w:rPr>
                <w:sz w:val="12"/>
              </w:rPr>
              <w:t xml:space="preserve">строительство </w:t>
            </w:r>
          </w:p>
        </w:tc>
        <w:tc>
          <w:tcPr>
            <w:tcW w:w="1152" w:type="dxa"/>
          </w:tcPr>
          <w:p w:rsidR="00564EEE" w:rsidRPr="00564EEE" w:rsidRDefault="00564EEE">
            <w:pPr>
              <w:pStyle w:val="ConsPlusNonformat"/>
              <w:jc w:val="both"/>
            </w:pPr>
            <w:r w:rsidRPr="00564EEE">
              <w:rPr>
                <w:sz w:val="12"/>
              </w:rPr>
              <w:t xml:space="preserve">Строительство </w:t>
            </w:r>
          </w:p>
          <w:p w:rsidR="00564EEE" w:rsidRPr="00564EEE" w:rsidRDefault="00564EEE">
            <w:pPr>
              <w:pStyle w:val="ConsPlusNonformat"/>
              <w:jc w:val="both"/>
            </w:pPr>
            <w:r w:rsidRPr="00564EEE">
              <w:rPr>
                <w:sz w:val="12"/>
              </w:rPr>
              <w:t xml:space="preserve">   объекта    </w:t>
            </w:r>
          </w:p>
        </w:tc>
        <w:tc>
          <w:tcPr>
            <w:tcW w:w="1440" w:type="dxa"/>
          </w:tcPr>
          <w:p w:rsidR="00564EEE" w:rsidRPr="00564EEE" w:rsidRDefault="00564EEE">
            <w:pPr>
              <w:pStyle w:val="ConsPlusNonformat"/>
              <w:jc w:val="both"/>
            </w:pPr>
            <w:r w:rsidRPr="00564EEE">
              <w:rPr>
                <w:sz w:val="12"/>
              </w:rPr>
              <w:t xml:space="preserve">    Общий срок    </w:t>
            </w:r>
          </w:p>
          <w:p w:rsidR="00564EEE" w:rsidRPr="00564EEE" w:rsidRDefault="00564EEE">
            <w:pPr>
              <w:pStyle w:val="ConsPlusNonformat"/>
              <w:jc w:val="both"/>
            </w:pPr>
            <w:r w:rsidRPr="00564EEE">
              <w:rPr>
                <w:sz w:val="12"/>
              </w:rPr>
              <w:t xml:space="preserve"> выполнения работ </w:t>
            </w:r>
          </w:p>
          <w:p w:rsidR="00564EEE" w:rsidRPr="00564EEE" w:rsidRDefault="00564EEE">
            <w:pPr>
              <w:pStyle w:val="ConsPlusNonformat"/>
              <w:jc w:val="both"/>
            </w:pPr>
            <w:r w:rsidRPr="00564EEE">
              <w:rPr>
                <w:sz w:val="12"/>
              </w:rPr>
              <w:t xml:space="preserve">по проектированию </w:t>
            </w:r>
          </w:p>
          <w:p w:rsidR="00564EEE" w:rsidRPr="00564EEE" w:rsidRDefault="00564EEE">
            <w:pPr>
              <w:pStyle w:val="ConsPlusNonformat"/>
              <w:jc w:val="both"/>
            </w:pPr>
            <w:r w:rsidRPr="00564EEE">
              <w:rPr>
                <w:sz w:val="12"/>
              </w:rPr>
              <w:t xml:space="preserve"> и строительству  </w:t>
            </w:r>
          </w:p>
          <w:p w:rsidR="00564EEE" w:rsidRPr="00564EEE" w:rsidRDefault="00564EEE">
            <w:pPr>
              <w:pStyle w:val="ConsPlusNonformat"/>
              <w:jc w:val="both"/>
            </w:pPr>
            <w:r w:rsidRPr="00564EEE">
              <w:rPr>
                <w:sz w:val="12"/>
              </w:rPr>
              <w:t xml:space="preserve">     объекта      </w:t>
            </w:r>
          </w:p>
        </w:tc>
      </w:tr>
      <w:tr w:rsidR="00564EEE" w:rsidRPr="00564EEE">
        <w:trPr>
          <w:trHeight w:val="140"/>
        </w:trPr>
        <w:tc>
          <w:tcPr>
            <w:tcW w:w="1800" w:type="dxa"/>
            <w:tcBorders>
              <w:top w:val="nil"/>
            </w:tcBorders>
          </w:tcPr>
          <w:p w:rsidR="00564EEE" w:rsidRPr="00564EEE" w:rsidRDefault="00564EEE">
            <w:pPr>
              <w:pStyle w:val="ConsPlusNonformat"/>
              <w:jc w:val="both"/>
            </w:pPr>
            <w:r w:rsidRPr="00564EEE">
              <w:rPr>
                <w:sz w:val="12"/>
              </w:rPr>
              <w:t xml:space="preserve">           1           </w:t>
            </w:r>
          </w:p>
        </w:tc>
        <w:tc>
          <w:tcPr>
            <w:tcW w:w="1512" w:type="dxa"/>
            <w:tcBorders>
              <w:top w:val="nil"/>
            </w:tcBorders>
          </w:tcPr>
          <w:p w:rsidR="00564EEE" w:rsidRPr="00564EEE" w:rsidRDefault="00564EEE">
            <w:pPr>
              <w:pStyle w:val="ConsPlusNonformat"/>
              <w:jc w:val="both"/>
            </w:pPr>
            <w:r w:rsidRPr="00564EEE">
              <w:rPr>
                <w:sz w:val="12"/>
              </w:rPr>
              <w:t xml:space="preserve">         2         </w:t>
            </w:r>
          </w:p>
        </w:tc>
        <w:tc>
          <w:tcPr>
            <w:tcW w:w="1008" w:type="dxa"/>
            <w:tcBorders>
              <w:top w:val="nil"/>
            </w:tcBorders>
          </w:tcPr>
          <w:p w:rsidR="00564EEE" w:rsidRPr="00564EEE" w:rsidRDefault="00564EEE">
            <w:pPr>
              <w:pStyle w:val="ConsPlusNonformat"/>
              <w:jc w:val="both"/>
            </w:pPr>
            <w:r w:rsidRPr="00564EEE">
              <w:rPr>
                <w:sz w:val="12"/>
              </w:rPr>
              <w:t xml:space="preserve">     3      </w:t>
            </w:r>
          </w:p>
        </w:tc>
        <w:tc>
          <w:tcPr>
            <w:tcW w:w="1296" w:type="dxa"/>
            <w:tcBorders>
              <w:top w:val="nil"/>
            </w:tcBorders>
          </w:tcPr>
          <w:p w:rsidR="00564EEE" w:rsidRPr="00564EEE" w:rsidRDefault="00564EEE">
            <w:pPr>
              <w:pStyle w:val="ConsPlusNonformat"/>
              <w:jc w:val="both"/>
            </w:pPr>
            <w:r w:rsidRPr="00564EEE">
              <w:rPr>
                <w:sz w:val="12"/>
              </w:rPr>
              <w:t xml:space="preserve">       4        </w:t>
            </w:r>
          </w:p>
        </w:tc>
        <w:tc>
          <w:tcPr>
            <w:tcW w:w="1152" w:type="dxa"/>
            <w:tcBorders>
              <w:top w:val="nil"/>
            </w:tcBorders>
          </w:tcPr>
          <w:p w:rsidR="00564EEE" w:rsidRPr="00564EEE" w:rsidRDefault="00564EEE">
            <w:pPr>
              <w:pStyle w:val="ConsPlusNonformat"/>
              <w:jc w:val="both"/>
            </w:pPr>
            <w:r w:rsidRPr="00564EEE">
              <w:rPr>
                <w:sz w:val="12"/>
              </w:rPr>
              <w:t xml:space="preserve">      5       </w:t>
            </w:r>
          </w:p>
        </w:tc>
        <w:tc>
          <w:tcPr>
            <w:tcW w:w="1152" w:type="dxa"/>
            <w:tcBorders>
              <w:top w:val="nil"/>
            </w:tcBorders>
          </w:tcPr>
          <w:p w:rsidR="00564EEE" w:rsidRPr="00564EEE" w:rsidRDefault="00564EEE">
            <w:pPr>
              <w:pStyle w:val="ConsPlusNonformat"/>
              <w:jc w:val="both"/>
            </w:pPr>
            <w:r w:rsidRPr="00564EEE">
              <w:rPr>
                <w:sz w:val="12"/>
              </w:rPr>
              <w:t xml:space="preserve">      6       </w:t>
            </w:r>
          </w:p>
        </w:tc>
        <w:tc>
          <w:tcPr>
            <w:tcW w:w="1440" w:type="dxa"/>
            <w:tcBorders>
              <w:top w:val="nil"/>
            </w:tcBorders>
          </w:tcPr>
          <w:p w:rsidR="00564EEE" w:rsidRPr="00564EEE" w:rsidRDefault="00564EEE">
            <w:pPr>
              <w:pStyle w:val="ConsPlusNonformat"/>
              <w:jc w:val="both"/>
            </w:pPr>
            <w:r w:rsidRPr="00564EEE">
              <w:rPr>
                <w:sz w:val="12"/>
              </w:rPr>
              <w:t xml:space="preserve">        7         </w:t>
            </w:r>
          </w:p>
        </w:tc>
      </w:tr>
      <w:tr w:rsidR="00564EEE" w:rsidRPr="00564EEE">
        <w:trPr>
          <w:trHeight w:val="140"/>
        </w:trPr>
        <w:tc>
          <w:tcPr>
            <w:tcW w:w="1800" w:type="dxa"/>
            <w:tcBorders>
              <w:top w:val="nil"/>
            </w:tcBorders>
          </w:tcPr>
          <w:p w:rsidR="00564EEE" w:rsidRPr="00564EEE" w:rsidRDefault="00564EEE">
            <w:pPr>
              <w:pStyle w:val="ConsPlusNonformat"/>
              <w:jc w:val="both"/>
            </w:pPr>
            <w:r w:rsidRPr="00564EEE">
              <w:rPr>
                <w:sz w:val="12"/>
              </w:rPr>
              <w:t xml:space="preserve">       ПС 500 </w:t>
            </w:r>
            <w:proofErr w:type="spellStart"/>
            <w:r w:rsidRPr="00564EEE">
              <w:rPr>
                <w:sz w:val="12"/>
              </w:rPr>
              <w:t>кВ</w:t>
            </w:r>
            <w:proofErr w:type="spellEnd"/>
            <w:r w:rsidRPr="00564EEE">
              <w:rPr>
                <w:sz w:val="12"/>
              </w:rPr>
              <w:t xml:space="preserve">       </w:t>
            </w:r>
          </w:p>
        </w:tc>
        <w:tc>
          <w:tcPr>
            <w:tcW w:w="1512" w:type="dxa"/>
            <w:tcBorders>
              <w:top w:val="nil"/>
            </w:tcBorders>
          </w:tcPr>
          <w:p w:rsidR="00564EEE" w:rsidRPr="00564EEE" w:rsidRDefault="00564EEE">
            <w:pPr>
              <w:pStyle w:val="ConsPlusNonformat"/>
              <w:jc w:val="both"/>
            </w:pPr>
            <w:r w:rsidRPr="00564EEE">
              <w:rPr>
                <w:sz w:val="12"/>
              </w:rPr>
              <w:t xml:space="preserve">         5         </w:t>
            </w:r>
          </w:p>
        </w:tc>
        <w:tc>
          <w:tcPr>
            <w:tcW w:w="1008" w:type="dxa"/>
            <w:tcBorders>
              <w:top w:val="nil"/>
            </w:tcBorders>
          </w:tcPr>
          <w:p w:rsidR="00564EEE" w:rsidRPr="00564EEE" w:rsidRDefault="00564EEE">
            <w:pPr>
              <w:pStyle w:val="ConsPlusNonformat"/>
              <w:jc w:val="both"/>
            </w:pPr>
            <w:r w:rsidRPr="00564EEE">
              <w:rPr>
                <w:sz w:val="12"/>
              </w:rPr>
              <w:t xml:space="preserve">     3      </w:t>
            </w:r>
          </w:p>
        </w:tc>
        <w:tc>
          <w:tcPr>
            <w:tcW w:w="1296" w:type="dxa"/>
            <w:tcBorders>
              <w:top w:val="nil"/>
            </w:tcBorders>
          </w:tcPr>
          <w:p w:rsidR="00564EEE" w:rsidRPr="00564EEE" w:rsidRDefault="00564EEE">
            <w:pPr>
              <w:pStyle w:val="ConsPlusNonformat"/>
              <w:jc w:val="both"/>
            </w:pPr>
            <w:r w:rsidRPr="00564EEE">
              <w:rPr>
                <w:sz w:val="12"/>
              </w:rPr>
              <w:t xml:space="preserve">       2        </w:t>
            </w:r>
          </w:p>
        </w:tc>
        <w:tc>
          <w:tcPr>
            <w:tcW w:w="1152" w:type="dxa"/>
            <w:tcBorders>
              <w:top w:val="nil"/>
            </w:tcBorders>
          </w:tcPr>
          <w:p w:rsidR="00564EEE" w:rsidRPr="00564EEE" w:rsidRDefault="00564EEE">
            <w:pPr>
              <w:pStyle w:val="ConsPlusNonformat"/>
              <w:jc w:val="both"/>
            </w:pPr>
            <w:r w:rsidRPr="00564EEE">
              <w:rPr>
                <w:sz w:val="12"/>
              </w:rPr>
              <w:t xml:space="preserve">      10      </w:t>
            </w:r>
          </w:p>
        </w:tc>
        <w:tc>
          <w:tcPr>
            <w:tcW w:w="1152" w:type="dxa"/>
            <w:tcBorders>
              <w:top w:val="nil"/>
            </w:tcBorders>
          </w:tcPr>
          <w:p w:rsidR="00564EEE" w:rsidRPr="00564EEE" w:rsidRDefault="00564EEE">
            <w:pPr>
              <w:pStyle w:val="ConsPlusNonformat"/>
              <w:jc w:val="both"/>
            </w:pPr>
            <w:r w:rsidRPr="00564EEE">
              <w:rPr>
                <w:sz w:val="12"/>
              </w:rPr>
              <w:t xml:space="preserve">   30 - 48    </w:t>
            </w:r>
          </w:p>
        </w:tc>
        <w:tc>
          <w:tcPr>
            <w:tcW w:w="1440" w:type="dxa"/>
            <w:tcBorders>
              <w:top w:val="nil"/>
            </w:tcBorders>
          </w:tcPr>
          <w:p w:rsidR="00564EEE" w:rsidRPr="00564EEE" w:rsidRDefault="00564EEE">
            <w:pPr>
              <w:pStyle w:val="ConsPlusNonformat"/>
              <w:jc w:val="both"/>
            </w:pPr>
            <w:r w:rsidRPr="00564EEE">
              <w:rPr>
                <w:sz w:val="12"/>
              </w:rPr>
              <w:t xml:space="preserve">     50 - 68      </w:t>
            </w:r>
          </w:p>
        </w:tc>
      </w:tr>
      <w:tr w:rsidR="00564EEE" w:rsidRPr="00564EEE">
        <w:trPr>
          <w:trHeight w:val="140"/>
        </w:trPr>
        <w:tc>
          <w:tcPr>
            <w:tcW w:w="1800" w:type="dxa"/>
            <w:tcBorders>
              <w:top w:val="nil"/>
            </w:tcBorders>
          </w:tcPr>
          <w:p w:rsidR="00564EEE" w:rsidRPr="00564EEE" w:rsidRDefault="00564EEE">
            <w:pPr>
              <w:pStyle w:val="ConsPlusNonformat"/>
              <w:jc w:val="both"/>
            </w:pPr>
            <w:r w:rsidRPr="00564EEE">
              <w:rPr>
                <w:sz w:val="12"/>
              </w:rPr>
              <w:t xml:space="preserve">       ПС 220 </w:t>
            </w:r>
            <w:proofErr w:type="spellStart"/>
            <w:r w:rsidRPr="00564EEE">
              <w:rPr>
                <w:sz w:val="12"/>
              </w:rPr>
              <w:t>кВ</w:t>
            </w:r>
            <w:proofErr w:type="spellEnd"/>
            <w:r w:rsidRPr="00564EEE">
              <w:rPr>
                <w:sz w:val="12"/>
              </w:rPr>
              <w:t xml:space="preserve">       </w:t>
            </w:r>
          </w:p>
        </w:tc>
        <w:tc>
          <w:tcPr>
            <w:tcW w:w="1512" w:type="dxa"/>
            <w:tcBorders>
              <w:top w:val="nil"/>
            </w:tcBorders>
          </w:tcPr>
          <w:p w:rsidR="00564EEE" w:rsidRPr="00564EEE" w:rsidRDefault="00564EEE">
            <w:pPr>
              <w:pStyle w:val="ConsPlusNonformat"/>
              <w:jc w:val="both"/>
            </w:pPr>
            <w:r w:rsidRPr="00564EEE">
              <w:rPr>
                <w:sz w:val="12"/>
              </w:rPr>
              <w:t xml:space="preserve">         4         </w:t>
            </w:r>
          </w:p>
        </w:tc>
        <w:tc>
          <w:tcPr>
            <w:tcW w:w="1008" w:type="dxa"/>
            <w:tcBorders>
              <w:top w:val="nil"/>
            </w:tcBorders>
          </w:tcPr>
          <w:p w:rsidR="00564EEE" w:rsidRPr="00564EEE" w:rsidRDefault="00564EEE">
            <w:pPr>
              <w:pStyle w:val="ConsPlusNonformat"/>
              <w:jc w:val="both"/>
            </w:pPr>
            <w:r w:rsidRPr="00564EEE">
              <w:rPr>
                <w:sz w:val="12"/>
              </w:rPr>
              <w:t xml:space="preserve">     3      </w:t>
            </w:r>
          </w:p>
        </w:tc>
        <w:tc>
          <w:tcPr>
            <w:tcW w:w="1296" w:type="dxa"/>
            <w:tcBorders>
              <w:top w:val="nil"/>
            </w:tcBorders>
          </w:tcPr>
          <w:p w:rsidR="00564EEE" w:rsidRPr="00564EEE" w:rsidRDefault="00564EEE">
            <w:pPr>
              <w:pStyle w:val="ConsPlusNonformat"/>
              <w:jc w:val="both"/>
            </w:pPr>
            <w:r w:rsidRPr="00564EEE">
              <w:rPr>
                <w:sz w:val="12"/>
              </w:rPr>
              <w:t xml:space="preserve">       2        </w:t>
            </w:r>
          </w:p>
        </w:tc>
        <w:tc>
          <w:tcPr>
            <w:tcW w:w="1152" w:type="dxa"/>
            <w:tcBorders>
              <w:top w:val="nil"/>
            </w:tcBorders>
          </w:tcPr>
          <w:p w:rsidR="00564EEE" w:rsidRPr="00564EEE" w:rsidRDefault="00564EEE">
            <w:pPr>
              <w:pStyle w:val="ConsPlusNonformat"/>
              <w:jc w:val="both"/>
            </w:pPr>
            <w:r w:rsidRPr="00564EEE">
              <w:rPr>
                <w:sz w:val="12"/>
              </w:rPr>
              <w:t xml:space="preserve">      9       </w:t>
            </w:r>
          </w:p>
        </w:tc>
        <w:tc>
          <w:tcPr>
            <w:tcW w:w="1152" w:type="dxa"/>
            <w:tcBorders>
              <w:top w:val="nil"/>
            </w:tcBorders>
          </w:tcPr>
          <w:p w:rsidR="00564EEE" w:rsidRPr="00564EEE" w:rsidRDefault="00564EEE">
            <w:pPr>
              <w:pStyle w:val="ConsPlusNonformat"/>
              <w:jc w:val="both"/>
            </w:pPr>
            <w:r w:rsidRPr="00564EEE">
              <w:rPr>
                <w:sz w:val="12"/>
              </w:rPr>
              <w:t xml:space="preserve">   24 - 36    </w:t>
            </w:r>
          </w:p>
        </w:tc>
        <w:tc>
          <w:tcPr>
            <w:tcW w:w="1440" w:type="dxa"/>
            <w:tcBorders>
              <w:top w:val="nil"/>
            </w:tcBorders>
          </w:tcPr>
          <w:p w:rsidR="00564EEE" w:rsidRPr="00564EEE" w:rsidRDefault="00564EEE">
            <w:pPr>
              <w:pStyle w:val="ConsPlusNonformat"/>
              <w:jc w:val="both"/>
            </w:pPr>
            <w:r w:rsidRPr="00564EEE">
              <w:rPr>
                <w:sz w:val="12"/>
              </w:rPr>
              <w:t xml:space="preserve">     42 - 54      </w:t>
            </w:r>
          </w:p>
        </w:tc>
      </w:tr>
      <w:tr w:rsidR="00564EEE" w:rsidRPr="00564EEE">
        <w:trPr>
          <w:trHeight w:val="140"/>
        </w:trPr>
        <w:tc>
          <w:tcPr>
            <w:tcW w:w="1800" w:type="dxa"/>
            <w:tcBorders>
              <w:top w:val="nil"/>
            </w:tcBorders>
          </w:tcPr>
          <w:p w:rsidR="00564EEE" w:rsidRPr="00564EEE" w:rsidRDefault="00564EEE">
            <w:pPr>
              <w:pStyle w:val="ConsPlusNonformat"/>
              <w:jc w:val="both"/>
            </w:pPr>
            <w:r w:rsidRPr="00564EEE">
              <w:rPr>
                <w:sz w:val="12"/>
              </w:rPr>
              <w:t xml:space="preserve">       ПС 110 </w:t>
            </w:r>
            <w:proofErr w:type="spellStart"/>
            <w:r w:rsidRPr="00564EEE">
              <w:rPr>
                <w:sz w:val="12"/>
              </w:rPr>
              <w:t>кВ</w:t>
            </w:r>
            <w:proofErr w:type="spellEnd"/>
            <w:r w:rsidRPr="00564EEE">
              <w:rPr>
                <w:sz w:val="12"/>
              </w:rPr>
              <w:t xml:space="preserve">       </w:t>
            </w:r>
          </w:p>
        </w:tc>
        <w:tc>
          <w:tcPr>
            <w:tcW w:w="1512" w:type="dxa"/>
            <w:tcBorders>
              <w:top w:val="nil"/>
            </w:tcBorders>
          </w:tcPr>
          <w:p w:rsidR="00564EEE" w:rsidRPr="00564EEE" w:rsidRDefault="00564EEE">
            <w:pPr>
              <w:pStyle w:val="ConsPlusNonformat"/>
              <w:jc w:val="both"/>
            </w:pPr>
            <w:r w:rsidRPr="00564EEE">
              <w:rPr>
                <w:sz w:val="12"/>
              </w:rPr>
              <w:t xml:space="preserve">         4         </w:t>
            </w:r>
          </w:p>
        </w:tc>
        <w:tc>
          <w:tcPr>
            <w:tcW w:w="1008" w:type="dxa"/>
            <w:tcBorders>
              <w:top w:val="nil"/>
            </w:tcBorders>
          </w:tcPr>
          <w:p w:rsidR="00564EEE" w:rsidRPr="00564EEE" w:rsidRDefault="00564EEE">
            <w:pPr>
              <w:pStyle w:val="ConsPlusNonformat"/>
              <w:jc w:val="both"/>
            </w:pPr>
            <w:r w:rsidRPr="00564EEE">
              <w:rPr>
                <w:sz w:val="12"/>
              </w:rPr>
              <w:t xml:space="preserve">     3      </w:t>
            </w:r>
          </w:p>
        </w:tc>
        <w:tc>
          <w:tcPr>
            <w:tcW w:w="1296" w:type="dxa"/>
            <w:tcBorders>
              <w:top w:val="nil"/>
            </w:tcBorders>
          </w:tcPr>
          <w:p w:rsidR="00564EEE" w:rsidRPr="00564EEE" w:rsidRDefault="00564EEE">
            <w:pPr>
              <w:pStyle w:val="ConsPlusNonformat"/>
              <w:jc w:val="both"/>
            </w:pPr>
            <w:r w:rsidRPr="00564EEE">
              <w:rPr>
                <w:sz w:val="12"/>
              </w:rPr>
              <w:t xml:space="preserve">       2        </w:t>
            </w:r>
          </w:p>
        </w:tc>
        <w:tc>
          <w:tcPr>
            <w:tcW w:w="1152" w:type="dxa"/>
            <w:tcBorders>
              <w:top w:val="nil"/>
            </w:tcBorders>
          </w:tcPr>
          <w:p w:rsidR="00564EEE" w:rsidRPr="00564EEE" w:rsidRDefault="00564EEE">
            <w:pPr>
              <w:pStyle w:val="ConsPlusNonformat"/>
              <w:jc w:val="both"/>
            </w:pPr>
            <w:r w:rsidRPr="00564EEE">
              <w:rPr>
                <w:sz w:val="12"/>
              </w:rPr>
              <w:t xml:space="preserve">      8       </w:t>
            </w:r>
          </w:p>
        </w:tc>
        <w:tc>
          <w:tcPr>
            <w:tcW w:w="1152" w:type="dxa"/>
            <w:tcBorders>
              <w:top w:val="nil"/>
            </w:tcBorders>
          </w:tcPr>
          <w:p w:rsidR="00564EEE" w:rsidRPr="00564EEE" w:rsidRDefault="00564EEE">
            <w:pPr>
              <w:pStyle w:val="ConsPlusNonformat"/>
              <w:jc w:val="both"/>
            </w:pPr>
            <w:r w:rsidRPr="00564EEE">
              <w:rPr>
                <w:sz w:val="12"/>
              </w:rPr>
              <w:t xml:space="preserve">   18 - 24    </w:t>
            </w:r>
          </w:p>
        </w:tc>
        <w:tc>
          <w:tcPr>
            <w:tcW w:w="1440" w:type="dxa"/>
            <w:tcBorders>
              <w:top w:val="nil"/>
            </w:tcBorders>
          </w:tcPr>
          <w:p w:rsidR="00564EEE" w:rsidRPr="00564EEE" w:rsidRDefault="00564EEE">
            <w:pPr>
              <w:pStyle w:val="ConsPlusNonformat"/>
              <w:jc w:val="both"/>
            </w:pPr>
            <w:r w:rsidRPr="00564EEE">
              <w:rPr>
                <w:sz w:val="12"/>
              </w:rPr>
              <w:t xml:space="preserve">     35 - 41      </w:t>
            </w:r>
          </w:p>
        </w:tc>
      </w:tr>
      <w:tr w:rsidR="00564EEE" w:rsidRPr="00564EEE">
        <w:trPr>
          <w:trHeight w:val="140"/>
        </w:trPr>
        <w:tc>
          <w:tcPr>
            <w:tcW w:w="1800" w:type="dxa"/>
            <w:tcBorders>
              <w:top w:val="nil"/>
            </w:tcBorders>
          </w:tcPr>
          <w:p w:rsidR="00564EEE" w:rsidRPr="00564EEE" w:rsidRDefault="00564EEE">
            <w:pPr>
              <w:pStyle w:val="ConsPlusNonformat"/>
              <w:jc w:val="both"/>
            </w:pPr>
            <w:r w:rsidRPr="00564EEE">
              <w:rPr>
                <w:sz w:val="12"/>
              </w:rPr>
              <w:t xml:space="preserve">       ПС 35 </w:t>
            </w:r>
            <w:proofErr w:type="spellStart"/>
            <w:r w:rsidRPr="00564EEE">
              <w:rPr>
                <w:sz w:val="12"/>
              </w:rPr>
              <w:t>кВ</w:t>
            </w:r>
            <w:proofErr w:type="spellEnd"/>
            <w:r w:rsidRPr="00564EEE">
              <w:rPr>
                <w:sz w:val="12"/>
              </w:rPr>
              <w:t xml:space="preserve">        </w:t>
            </w:r>
          </w:p>
        </w:tc>
        <w:tc>
          <w:tcPr>
            <w:tcW w:w="1512" w:type="dxa"/>
            <w:tcBorders>
              <w:top w:val="nil"/>
            </w:tcBorders>
          </w:tcPr>
          <w:p w:rsidR="00564EEE" w:rsidRPr="00564EEE" w:rsidRDefault="00564EEE">
            <w:pPr>
              <w:pStyle w:val="ConsPlusNonformat"/>
              <w:jc w:val="both"/>
            </w:pPr>
            <w:r w:rsidRPr="00564EEE">
              <w:rPr>
                <w:sz w:val="12"/>
              </w:rPr>
              <w:t xml:space="preserve">         4         </w:t>
            </w:r>
          </w:p>
        </w:tc>
        <w:tc>
          <w:tcPr>
            <w:tcW w:w="1008" w:type="dxa"/>
            <w:tcBorders>
              <w:top w:val="nil"/>
            </w:tcBorders>
          </w:tcPr>
          <w:p w:rsidR="00564EEE" w:rsidRPr="00564EEE" w:rsidRDefault="00564EEE">
            <w:pPr>
              <w:pStyle w:val="ConsPlusNonformat"/>
              <w:jc w:val="both"/>
            </w:pPr>
            <w:r w:rsidRPr="00564EEE">
              <w:rPr>
                <w:sz w:val="12"/>
              </w:rPr>
              <w:t xml:space="preserve">     3      </w:t>
            </w:r>
          </w:p>
        </w:tc>
        <w:tc>
          <w:tcPr>
            <w:tcW w:w="1296" w:type="dxa"/>
            <w:tcBorders>
              <w:top w:val="nil"/>
            </w:tcBorders>
          </w:tcPr>
          <w:p w:rsidR="00564EEE" w:rsidRPr="00564EEE" w:rsidRDefault="00564EEE">
            <w:pPr>
              <w:pStyle w:val="ConsPlusNonformat"/>
              <w:jc w:val="both"/>
            </w:pPr>
            <w:r w:rsidRPr="00564EEE">
              <w:rPr>
                <w:sz w:val="12"/>
              </w:rPr>
              <w:t xml:space="preserve">       2        </w:t>
            </w:r>
          </w:p>
        </w:tc>
        <w:tc>
          <w:tcPr>
            <w:tcW w:w="1152" w:type="dxa"/>
            <w:tcBorders>
              <w:top w:val="nil"/>
            </w:tcBorders>
          </w:tcPr>
          <w:p w:rsidR="00564EEE" w:rsidRPr="00564EEE" w:rsidRDefault="00564EEE">
            <w:pPr>
              <w:pStyle w:val="ConsPlusNonformat"/>
              <w:jc w:val="both"/>
            </w:pPr>
            <w:r w:rsidRPr="00564EEE">
              <w:rPr>
                <w:sz w:val="12"/>
              </w:rPr>
              <w:t xml:space="preserve">      8       </w:t>
            </w:r>
          </w:p>
        </w:tc>
        <w:tc>
          <w:tcPr>
            <w:tcW w:w="1152" w:type="dxa"/>
            <w:tcBorders>
              <w:top w:val="nil"/>
            </w:tcBorders>
          </w:tcPr>
          <w:p w:rsidR="00564EEE" w:rsidRPr="00564EEE" w:rsidRDefault="00564EEE">
            <w:pPr>
              <w:pStyle w:val="ConsPlusNonformat"/>
              <w:jc w:val="both"/>
            </w:pPr>
            <w:r w:rsidRPr="00564EEE">
              <w:rPr>
                <w:sz w:val="12"/>
              </w:rPr>
              <w:t xml:space="preserve">   12 - 18    </w:t>
            </w:r>
          </w:p>
        </w:tc>
        <w:tc>
          <w:tcPr>
            <w:tcW w:w="1440" w:type="dxa"/>
            <w:tcBorders>
              <w:top w:val="nil"/>
            </w:tcBorders>
          </w:tcPr>
          <w:p w:rsidR="00564EEE" w:rsidRPr="00564EEE" w:rsidRDefault="00564EEE">
            <w:pPr>
              <w:pStyle w:val="ConsPlusNonformat"/>
              <w:jc w:val="both"/>
            </w:pPr>
            <w:r w:rsidRPr="00564EEE">
              <w:rPr>
                <w:sz w:val="12"/>
              </w:rPr>
              <w:t xml:space="preserve">     29 - 35      </w:t>
            </w:r>
          </w:p>
        </w:tc>
      </w:tr>
    </w:tbl>
    <w:p w:rsidR="00564EEE" w:rsidRPr="00564EEE" w:rsidRDefault="00564EEE">
      <w:pPr>
        <w:pStyle w:val="ConsPlusNormal"/>
        <w:ind w:firstLine="540"/>
        <w:jc w:val="both"/>
      </w:pPr>
    </w:p>
    <w:p w:rsidR="00564EEE" w:rsidRPr="00564EEE" w:rsidRDefault="00564EEE">
      <w:pPr>
        <w:pStyle w:val="ConsPlusNormal"/>
        <w:ind w:firstLine="540"/>
        <w:jc w:val="both"/>
      </w:pPr>
      <w:r w:rsidRPr="00564EEE">
        <w:t xml:space="preserve">4. Сроки строительства отдельных ячеек при расширении </w:t>
      </w:r>
      <w:proofErr w:type="gramStart"/>
      <w:r w:rsidRPr="00564EEE">
        <w:t>действующей</w:t>
      </w:r>
      <w:proofErr w:type="gramEnd"/>
      <w:r w:rsidRPr="00564EEE">
        <w:t xml:space="preserve"> ПС, в месяцах (Таблица 4)</w:t>
      </w:r>
    </w:p>
    <w:p w:rsidR="00564EEE" w:rsidRPr="00564EEE" w:rsidRDefault="00564EEE">
      <w:pPr>
        <w:pStyle w:val="ConsPlusNormal"/>
        <w:ind w:firstLine="540"/>
        <w:jc w:val="both"/>
      </w:pPr>
    </w:p>
    <w:p w:rsidR="00564EEE" w:rsidRPr="00564EEE" w:rsidRDefault="00564EEE">
      <w:pPr>
        <w:pStyle w:val="ConsPlusNormal"/>
        <w:jc w:val="right"/>
      </w:pPr>
      <w:bookmarkStart w:id="34" w:name="P453"/>
      <w:bookmarkEnd w:id="34"/>
      <w:r w:rsidRPr="00564EEE">
        <w:t>Таблица 4</w:t>
      </w:r>
    </w:p>
    <w:tbl>
      <w:tblPr>
        <w:tblW w:w="9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584"/>
        <w:gridCol w:w="1656"/>
        <w:gridCol w:w="1224"/>
        <w:gridCol w:w="1368"/>
        <w:gridCol w:w="1584"/>
        <w:gridCol w:w="1152"/>
        <w:gridCol w:w="1224"/>
      </w:tblGrid>
      <w:tr w:rsidR="00564EEE" w:rsidRPr="00564EEE" w:rsidTr="00564EEE">
        <w:trPr>
          <w:trHeight w:val="140"/>
        </w:trPr>
        <w:tc>
          <w:tcPr>
            <w:tcW w:w="1584" w:type="dxa"/>
          </w:tcPr>
          <w:p w:rsidR="00564EEE" w:rsidRPr="00564EEE" w:rsidRDefault="00564EEE">
            <w:pPr>
              <w:pStyle w:val="ConsPlusNonformat"/>
              <w:jc w:val="both"/>
            </w:pPr>
            <w:r w:rsidRPr="00564EEE">
              <w:rPr>
                <w:sz w:val="12"/>
              </w:rPr>
              <w:t xml:space="preserve">       Объект       </w:t>
            </w:r>
          </w:p>
        </w:tc>
        <w:tc>
          <w:tcPr>
            <w:tcW w:w="1656" w:type="dxa"/>
          </w:tcPr>
          <w:p w:rsidR="00564EEE" w:rsidRPr="00564EEE" w:rsidRDefault="00564EEE">
            <w:pPr>
              <w:pStyle w:val="ConsPlusNonformat"/>
              <w:jc w:val="both"/>
            </w:pPr>
            <w:r w:rsidRPr="00564EEE">
              <w:rPr>
                <w:sz w:val="12"/>
              </w:rPr>
              <w:t xml:space="preserve">     Разработка      </w:t>
            </w:r>
          </w:p>
          <w:p w:rsidR="00564EEE" w:rsidRPr="00564EEE" w:rsidRDefault="00564EEE">
            <w:pPr>
              <w:pStyle w:val="ConsPlusNonformat"/>
              <w:jc w:val="both"/>
            </w:pPr>
            <w:r w:rsidRPr="00564EEE">
              <w:rPr>
                <w:sz w:val="12"/>
              </w:rPr>
              <w:t>технического задания,</w:t>
            </w:r>
          </w:p>
          <w:p w:rsidR="00564EEE" w:rsidRPr="00564EEE" w:rsidRDefault="00564EEE">
            <w:pPr>
              <w:pStyle w:val="ConsPlusNonformat"/>
              <w:jc w:val="both"/>
            </w:pPr>
            <w:r w:rsidRPr="00564EEE">
              <w:rPr>
                <w:sz w:val="12"/>
              </w:rPr>
              <w:t xml:space="preserve">   выбор </w:t>
            </w:r>
            <w:proofErr w:type="gramStart"/>
            <w:r w:rsidRPr="00564EEE">
              <w:rPr>
                <w:sz w:val="12"/>
              </w:rPr>
              <w:t>проектной</w:t>
            </w:r>
            <w:proofErr w:type="gramEnd"/>
            <w:r w:rsidRPr="00564EEE">
              <w:rPr>
                <w:sz w:val="12"/>
              </w:rPr>
              <w:t xml:space="preserve">   </w:t>
            </w:r>
          </w:p>
          <w:p w:rsidR="00564EEE" w:rsidRPr="00564EEE" w:rsidRDefault="00564EEE">
            <w:pPr>
              <w:pStyle w:val="ConsPlusNonformat"/>
              <w:jc w:val="both"/>
            </w:pPr>
            <w:r w:rsidRPr="00564EEE">
              <w:rPr>
                <w:sz w:val="12"/>
              </w:rPr>
              <w:t>организации по итогам</w:t>
            </w:r>
          </w:p>
          <w:p w:rsidR="00564EEE" w:rsidRPr="00564EEE" w:rsidRDefault="00564EEE">
            <w:pPr>
              <w:pStyle w:val="ConsPlusNonformat"/>
              <w:jc w:val="both"/>
            </w:pPr>
            <w:r w:rsidRPr="00564EEE">
              <w:rPr>
                <w:sz w:val="12"/>
              </w:rPr>
              <w:t xml:space="preserve">закупочных процедур, </w:t>
            </w:r>
          </w:p>
          <w:p w:rsidR="00564EEE" w:rsidRPr="00564EEE" w:rsidRDefault="00564EEE">
            <w:pPr>
              <w:pStyle w:val="ConsPlusNonformat"/>
              <w:jc w:val="both"/>
            </w:pPr>
            <w:r w:rsidRPr="00564EEE">
              <w:rPr>
                <w:sz w:val="12"/>
              </w:rPr>
              <w:t xml:space="preserve"> заключение договора </w:t>
            </w:r>
          </w:p>
          <w:p w:rsidR="00564EEE" w:rsidRPr="00564EEE" w:rsidRDefault="00564EEE">
            <w:pPr>
              <w:pStyle w:val="ConsPlusNonformat"/>
              <w:jc w:val="both"/>
            </w:pPr>
            <w:r w:rsidRPr="00564EEE">
              <w:rPr>
                <w:sz w:val="12"/>
              </w:rPr>
              <w:t xml:space="preserve">  на проектирование  </w:t>
            </w:r>
          </w:p>
        </w:tc>
        <w:tc>
          <w:tcPr>
            <w:tcW w:w="1224" w:type="dxa"/>
          </w:tcPr>
          <w:p w:rsidR="00564EEE" w:rsidRPr="00564EEE" w:rsidRDefault="00564EEE">
            <w:pPr>
              <w:pStyle w:val="ConsPlusNonformat"/>
              <w:jc w:val="both"/>
            </w:pPr>
            <w:r w:rsidRPr="00564EEE">
              <w:rPr>
                <w:sz w:val="12"/>
              </w:rPr>
              <w:t xml:space="preserve">  Разработка   </w:t>
            </w:r>
          </w:p>
          <w:p w:rsidR="00564EEE" w:rsidRPr="00564EEE" w:rsidRDefault="00564EEE">
            <w:pPr>
              <w:pStyle w:val="ConsPlusNonformat"/>
              <w:jc w:val="both"/>
            </w:pPr>
            <w:r w:rsidRPr="00564EEE">
              <w:rPr>
                <w:sz w:val="12"/>
              </w:rPr>
              <w:t xml:space="preserve">  проектной    </w:t>
            </w:r>
          </w:p>
          <w:p w:rsidR="00564EEE" w:rsidRPr="00564EEE" w:rsidRDefault="00564EEE">
            <w:pPr>
              <w:pStyle w:val="ConsPlusNonformat"/>
              <w:jc w:val="both"/>
            </w:pPr>
            <w:r w:rsidRPr="00564EEE">
              <w:rPr>
                <w:sz w:val="12"/>
              </w:rPr>
              <w:t xml:space="preserve"> документации  </w:t>
            </w:r>
          </w:p>
        </w:tc>
        <w:tc>
          <w:tcPr>
            <w:tcW w:w="1368" w:type="dxa"/>
          </w:tcPr>
          <w:p w:rsidR="00564EEE" w:rsidRPr="00564EEE" w:rsidRDefault="00564EEE">
            <w:pPr>
              <w:pStyle w:val="ConsPlusNonformat"/>
              <w:jc w:val="both"/>
            </w:pPr>
            <w:r w:rsidRPr="00564EEE">
              <w:rPr>
                <w:sz w:val="12"/>
              </w:rPr>
              <w:t xml:space="preserve">  Согласование   </w:t>
            </w:r>
          </w:p>
          <w:p w:rsidR="00564EEE" w:rsidRPr="00564EEE" w:rsidRDefault="00564EEE">
            <w:pPr>
              <w:pStyle w:val="ConsPlusNonformat"/>
              <w:jc w:val="both"/>
            </w:pPr>
            <w:r w:rsidRPr="00564EEE">
              <w:rPr>
                <w:sz w:val="12"/>
              </w:rPr>
              <w:t xml:space="preserve">    проектной    </w:t>
            </w:r>
          </w:p>
          <w:p w:rsidR="00564EEE" w:rsidRPr="00564EEE" w:rsidRDefault="00564EEE">
            <w:pPr>
              <w:pStyle w:val="ConsPlusNonformat"/>
              <w:jc w:val="both"/>
            </w:pPr>
            <w:r w:rsidRPr="00564EEE">
              <w:rPr>
                <w:sz w:val="12"/>
              </w:rPr>
              <w:t xml:space="preserve"> документации </w:t>
            </w:r>
            <w:proofErr w:type="gramStart"/>
            <w:r w:rsidRPr="00564EEE">
              <w:rPr>
                <w:sz w:val="12"/>
              </w:rPr>
              <w:t>с</w:t>
            </w:r>
            <w:proofErr w:type="gramEnd"/>
            <w:r w:rsidRPr="00564EEE">
              <w:rPr>
                <w:sz w:val="12"/>
              </w:rPr>
              <w:t xml:space="preserve">  </w:t>
            </w:r>
          </w:p>
          <w:p w:rsidR="00564EEE" w:rsidRPr="00564EEE" w:rsidRDefault="00564EEE">
            <w:pPr>
              <w:pStyle w:val="ConsPlusNonformat"/>
              <w:jc w:val="both"/>
            </w:pPr>
            <w:r w:rsidRPr="00564EEE">
              <w:rPr>
                <w:sz w:val="12"/>
              </w:rPr>
              <w:t xml:space="preserve">    системным    </w:t>
            </w:r>
          </w:p>
          <w:p w:rsidR="00564EEE" w:rsidRPr="00564EEE" w:rsidRDefault="00564EEE">
            <w:pPr>
              <w:pStyle w:val="ConsPlusNonformat"/>
              <w:jc w:val="both"/>
            </w:pPr>
            <w:r w:rsidRPr="00564EEE">
              <w:rPr>
                <w:sz w:val="12"/>
              </w:rPr>
              <w:t xml:space="preserve">  оператором и   </w:t>
            </w:r>
          </w:p>
          <w:p w:rsidR="00564EEE" w:rsidRPr="00564EEE" w:rsidRDefault="00564EEE">
            <w:pPr>
              <w:pStyle w:val="ConsPlusNonformat"/>
              <w:jc w:val="both"/>
            </w:pPr>
            <w:r w:rsidRPr="00564EEE">
              <w:rPr>
                <w:sz w:val="12"/>
              </w:rPr>
              <w:t xml:space="preserve">    смежными     </w:t>
            </w:r>
          </w:p>
          <w:p w:rsidR="00564EEE" w:rsidRPr="00564EEE" w:rsidRDefault="00564EEE">
            <w:pPr>
              <w:pStyle w:val="ConsPlusNonformat"/>
              <w:jc w:val="both"/>
            </w:pPr>
            <w:r w:rsidRPr="00564EEE">
              <w:rPr>
                <w:sz w:val="12"/>
              </w:rPr>
              <w:t xml:space="preserve">    сетевыми     </w:t>
            </w:r>
          </w:p>
          <w:p w:rsidR="00564EEE" w:rsidRPr="00564EEE" w:rsidRDefault="00564EEE">
            <w:pPr>
              <w:pStyle w:val="ConsPlusNonformat"/>
              <w:jc w:val="both"/>
            </w:pPr>
            <w:r w:rsidRPr="00564EEE">
              <w:rPr>
                <w:sz w:val="12"/>
              </w:rPr>
              <w:t xml:space="preserve">  организациями  </w:t>
            </w:r>
          </w:p>
        </w:tc>
        <w:tc>
          <w:tcPr>
            <w:tcW w:w="1584" w:type="dxa"/>
          </w:tcPr>
          <w:p w:rsidR="00564EEE" w:rsidRPr="00564EEE" w:rsidRDefault="00564EEE">
            <w:pPr>
              <w:pStyle w:val="ConsPlusNonformat"/>
              <w:jc w:val="both"/>
            </w:pPr>
            <w:r w:rsidRPr="00564EEE">
              <w:rPr>
                <w:sz w:val="12"/>
              </w:rPr>
              <w:t xml:space="preserve">     Разработка     </w:t>
            </w:r>
          </w:p>
          <w:p w:rsidR="00564EEE" w:rsidRPr="00564EEE" w:rsidRDefault="00564EEE">
            <w:pPr>
              <w:pStyle w:val="ConsPlusNonformat"/>
              <w:jc w:val="both"/>
            </w:pPr>
            <w:r w:rsidRPr="00564EEE">
              <w:rPr>
                <w:sz w:val="12"/>
              </w:rPr>
              <w:t xml:space="preserve">     закупочной     </w:t>
            </w:r>
          </w:p>
          <w:p w:rsidR="00564EEE" w:rsidRPr="00564EEE" w:rsidRDefault="00564EEE">
            <w:pPr>
              <w:pStyle w:val="ConsPlusNonformat"/>
              <w:jc w:val="both"/>
            </w:pPr>
            <w:r w:rsidRPr="00564EEE">
              <w:rPr>
                <w:sz w:val="12"/>
              </w:rPr>
              <w:t xml:space="preserve">  документации </w:t>
            </w:r>
            <w:proofErr w:type="gramStart"/>
            <w:r w:rsidRPr="00564EEE">
              <w:rPr>
                <w:sz w:val="12"/>
              </w:rPr>
              <w:t>на</w:t>
            </w:r>
            <w:proofErr w:type="gramEnd"/>
            <w:r w:rsidRPr="00564EEE">
              <w:rPr>
                <w:sz w:val="12"/>
              </w:rPr>
              <w:t xml:space="preserve">   </w:t>
            </w:r>
          </w:p>
          <w:p w:rsidR="00564EEE" w:rsidRPr="00564EEE" w:rsidRDefault="00564EEE">
            <w:pPr>
              <w:pStyle w:val="ConsPlusNonformat"/>
              <w:jc w:val="both"/>
            </w:pPr>
            <w:r w:rsidRPr="00564EEE">
              <w:rPr>
                <w:sz w:val="12"/>
              </w:rPr>
              <w:t xml:space="preserve">   строительство,   </w:t>
            </w:r>
          </w:p>
          <w:p w:rsidR="00564EEE" w:rsidRPr="00564EEE" w:rsidRDefault="00564EEE">
            <w:pPr>
              <w:pStyle w:val="ConsPlusNonformat"/>
              <w:jc w:val="both"/>
            </w:pPr>
            <w:r w:rsidRPr="00564EEE">
              <w:rPr>
                <w:sz w:val="12"/>
              </w:rPr>
              <w:t xml:space="preserve">     проведение     </w:t>
            </w:r>
          </w:p>
          <w:p w:rsidR="00564EEE" w:rsidRPr="00564EEE" w:rsidRDefault="00564EEE">
            <w:pPr>
              <w:pStyle w:val="ConsPlusNonformat"/>
              <w:jc w:val="both"/>
            </w:pPr>
            <w:r w:rsidRPr="00564EEE">
              <w:rPr>
                <w:sz w:val="12"/>
              </w:rPr>
              <w:t xml:space="preserve">закупочных процедур </w:t>
            </w:r>
          </w:p>
          <w:p w:rsidR="00564EEE" w:rsidRPr="00564EEE" w:rsidRDefault="00564EEE">
            <w:pPr>
              <w:pStyle w:val="ConsPlusNonformat"/>
              <w:jc w:val="both"/>
            </w:pPr>
            <w:r w:rsidRPr="00564EEE">
              <w:rPr>
                <w:sz w:val="12"/>
              </w:rPr>
              <w:t xml:space="preserve">  на строительство  </w:t>
            </w:r>
          </w:p>
        </w:tc>
        <w:tc>
          <w:tcPr>
            <w:tcW w:w="1152" w:type="dxa"/>
          </w:tcPr>
          <w:p w:rsidR="00564EEE" w:rsidRPr="00564EEE" w:rsidRDefault="00564EEE">
            <w:pPr>
              <w:pStyle w:val="ConsPlusNonformat"/>
              <w:jc w:val="both"/>
            </w:pPr>
            <w:r w:rsidRPr="00564EEE">
              <w:rPr>
                <w:sz w:val="12"/>
              </w:rPr>
              <w:t xml:space="preserve">Строительство </w:t>
            </w:r>
          </w:p>
          <w:p w:rsidR="00564EEE" w:rsidRPr="00564EEE" w:rsidRDefault="00564EEE">
            <w:pPr>
              <w:pStyle w:val="ConsPlusNonformat"/>
              <w:jc w:val="both"/>
            </w:pPr>
            <w:r w:rsidRPr="00564EEE">
              <w:rPr>
                <w:sz w:val="12"/>
              </w:rPr>
              <w:t xml:space="preserve">  объекта &lt;*&gt;</w:t>
            </w:r>
          </w:p>
        </w:tc>
        <w:tc>
          <w:tcPr>
            <w:tcW w:w="1224" w:type="dxa"/>
          </w:tcPr>
          <w:p w:rsidR="00564EEE" w:rsidRPr="00564EEE" w:rsidRDefault="00564EEE">
            <w:pPr>
              <w:pStyle w:val="ConsPlusNonformat"/>
              <w:jc w:val="both"/>
            </w:pPr>
            <w:r w:rsidRPr="00564EEE">
              <w:rPr>
                <w:sz w:val="12"/>
              </w:rPr>
              <w:t xml:space="preserve">  Общий срок   </w:t>
            </w:r>
          </w:p>
          <w:p w:rsidR="00564EEE" w:rsidRPr="00564EEE" w:rsidRDefault="00564EEE">
            <w:pPr>
              <w:pStyle w:val="ConsPlusNonformat"/>
              <w:jc w:val="both"/>
            </w:pPr>
            <w:r w:rsidRPr="00564EEE">
              <w:rPr>
                <w:sz w:val="12"/>
              </w:rPr>
              <w:t xml:space="preserve">  выполнения   </w:t>
            </w:r>
          </w:p>
          <w:p w:rsidR="00564EEE" w:rsidRPr="00564EEE" w:rsidRDefault="00564EEE">
            <w:pPr>
              <w:pStyle w:val="ConsPlusNonformat"/>
              <w:jc w:val="both"/>
            </w:pPr>
            <w:r w:rsidRPr="00564EEE">
              <w:rPr>
                <w:sz w:val="12"/>
              </w:rPr>
              <w:t xml:space="preserve">   работ </w:t>
            </w:r>
            <w:proofErr w:type="gramStart"/>
            <w:r w:rsidRPr="00564EEE">
              <w:rPr>
                <w:sz w:val="12"/>
              </w:rPr>
              <w:t>по</w:t>
            </w:r>
            <w:proofErr w:type="gramEnd"/>
            <w:r w:rsidRPr="00564EEE">
              <w:rPr>
                <w:sz w:val="12"/>
              </w:rPr>
              <w:t xml:space="preserve">    </w:t>
            </w:r>
          </w:p>
          <w:p w:rsidR="00564EEE" w:rsidRPr="00564EEE" w:rsidRDefault="00564EEE">
            <w:pPr>
              <w:pStyle w:val="ConsPlusNonformat"/>
              <w:jc w:val="both"/>
            </w:pPr>
            <w:r w:rsidRPr="00564EEE">
              <w:rPr>
                <w:sz w:val="12"/>
              </w:rPr>
              <w:t xml:space="preserve">проектированию </w:t>
            </w:r>
          </w:p>
          <w:p w:rsidR="00564EEE" w:rsidRPr="00564EEE" w:rsidRDefault="00564EEE">
            <w:pPr>
              <w:pStyle w:val="ConsPlusNonformat"/>
              <w:jc w:val="both"/>
            </w:pPr>
            <w:r w:rsidRPr="00564EEE">
              <w:rPr>
                <w:sz w:val="12"/>
              </w:rPr>
              <w:t>и строительству</w:t>
            </w:r>
          </w:p>
          <w:p w:rsidR="00564EEE" w:rsidRPr="00564EEE" w:rsidRDefault="00564EEE">
            <w:pPr>
              <w:pStyle w:val="ConsPlusNonformat"/>
              <w:jc w:val="both"/>
            </w:pPr>
            <w:r w:rsidRPr="00564EEE">
              <w:rPr>
                <w:sz w:val="12"/>
              </w:rPr>
              <w:t xml:space="preserve">    объекта    </w:t>
            </w:r>
          </w:p>
        </w:tc>
      </w:tr>
      <w:tr w:rsidR="00564EEE" w:rsidRPr="00564EEE" w:rsidTr="00564EEE">
        <w:trPr>
          <w:trHeight w:val="140"/>
        </w:trPr>
        <w:tc>
          <w:tcPr>
            <w:tcW w:w="1584" w:type="dxa"/>
            <w:tcBorders>
              <w:top w:val="nil"/>
            </w:tcBorders>
          </w:tcPr>
          <w:p w:rsidR="00564EEE" w:rsidRPr="00564EEE" w:rsidRDefault="00564EEE">
            <w:pPr>
              <w:pStyle w:val="ConsPlusNonformat"/>
              <w:jc w:val="both"/>
            </w:pPr>
            <w:r w:rsidRPr="00564EEE">
              <w:rPr>
                <w:sz w:val="12"/>
              </w:rPr>
              <w:t xml:space="preserve">         1          </w:t>
            </w:r>
          </w:p>
        </w:tc>
        <w:tc>
          <w:tcPr>
            <w:tcW w:w="1656" w:type="dxa"/>
            <w:tcBorders>
              <w:top w:val="nil"/>
            </w:tcBorders>
          </w:tcPr>
          <w:p w:rsidR="00564EEE" w:rsidRPr="00564EEE" w:rsidRDefault="00564EEE">
            <w:pPr>
              <w:pStyle w:val="ConsPlusNonformat"/>
              <w:jc w:val="both"/>
            </w:pPr>
            <w:r w:rsidRPr="00564EEE">
              <w:rPr>
                <w:sz w:val="12"/>
              </w:rPr>
              <w:t xml:space="preserve">          2          </w:t>
            </w:r>
          </w:p>
        </w:tc>
        <w:tc>
          <w:tcPr>
            <w:tcW w:w="1224" w:type="dxa"/>
            <w:tcBorders>
              <w:top w:val="nil"/>
            </w:tcBorders>
          </w:tcPr>
          <w:p w:rsidR="00564EEE" w:rsidRPr="00564EEE" w:rsidRDefault="00564EEE">
            <w:pPr>
              <w:pStyle w:val="ConsPlusNonformat"/>
              <w:jc w:val="both"/>
            </w:pPr>
            <w:r w:rsidRPr="00564EEE">
              <w:rPr>
                <w:sz w:val="12"/>
              </w:rPr>
              <w:t xml:space="preserve">       3       </w:t>
            </w:r>
          </w:p>
        </w:tc>
        <w:tc>
          <w:tcPr>
            <w:tcW w:w="1368" w:type="dxa"/>
            <w:tcBorders>
              <w:top w:val="nil"/>
            </w:tcBorders>
          </w:tcPr>
          <w:p w:rsidR="00564EEE" w:rsidRPr="00564EEE" w:rsidRDefault="00564EEE">
            <w:pPr>
              <w:pStyle w:val="ConsPlusNonformat"/>
              <w:jc w:val="both"/>
            </w:pPr>
            <w:r w:rsidRPr="00564EEE">
              <w:rPr>
                <w:sz w:val="12"/>
              </w:rPr>
              <w:t xml:space="preserve">        4        </w:t>
            </w:r>
          </w:p>
        </w:tc>
        <w:tc>
          <w:tcPr>
            <w:tcW w:w="1584" w:type="dxa"/>
            <w:tcBorders>
              <w:top w:val="nil"/>
            </w:tcBorders>
          </w:tcPr>
          <w:p w:rsidR="00564EEE" w:rsidRPr="00564EEE" w:rsidRDefault="00564EEE">
            <w:pPr>
              <w:pStyle w:val="ConsPlusNonformat"/>
              <w:jc w:val="both"/>
            </w:pPr>
            <w:r w:rsidRPr="00564EEE">
              <w:rPr>
                <w:sz w:val="12"/>
              </w:rPr>
              <w:t xml:space="preserve">         5          </w:t>
            </w:r>
          </w:p>
        </w:tc>
        <w:tc>
          <w:tcPr>
            <w:tcW w:w="1152" w:type="dxa"/>
            <w:tcBorders>
              <w:top w:val="nil"/>
            </w:tcBorders>
          </w:tcPr>
          <w:p w:rsidR="00564EEE" w:rsidRPr="00564EEE" w:rsidRDefault="00564EEE">
            <w:pPr>
              <w:pStyle w:val="ConsPlusNonformat"/>
              <w:jc w:val="both"/>
            </w:pPr>
            <w:r w:rsidRPr="00564EEE">
              <w:rPr>
                <w:sz w:val="12"/>
              </w:rPr>
              <w:t xml:space="preserve">      7       </w:t>
            </w:r>
          </w:p>
        </w:tc>
        <w:tc>
          <w:tcPr>
            <w:tcW w:w="1224" w:type="dxa"/>
            <w:tcBorders>
              <w:top w:val="nil"/>
            </w:tcBorders>
          </w:tcPr>
          <w:p w:rsidR="00564EEE" w:rsidRPr="00564EEE" w:rsidRDefault="00564EEE">
            <w:pPr>
              <w:pStyle w:val="ConsPlusNonformat"/>
              <w:jc w:val="both"/>
            </w:pPr>
            <w:r w:rsidRPr="00564EEE">
              <w:rPr>
                <w:sz w:val="12"/>
              </w:rPr>
              <w:t xml:space="preserve">       8       </w:t>
            </w:r>
          </w:p>
        </w:tc>
      </w:tr>
      <w:tr w:rsidR="00564EEE" w:rsidRPr="00564EEE" w:rsidTr="00564EEE">
        <w:trPr>
          <w:trHeight w:val="140"/>
        </w:trPr>
        <w:tc>
          <w:tcPr>
            <w:tcW w:w="1584" w:type="dxa"/>
            <w:tcBorders>
              <w:top w:val="nil"/>
            </w:tcBorders>
          </w:tcPr>
          <w:p w:rsidR="00564EEE" w:rsidRPr="00564EEE" w:rsidRDefault="00564EEE">
            <w:pPr>
              <w:pStyle w:val="ConsPlusNonformat"/>
              <w:jc w:val="both"/>
            </w:pPr>
            <w:r w:rsidRPr="00564EEE">
              <w:rPr>
                <w:sz w:val="12"/>
              </w:rPr>
              <w:t xml:space="preserve">Ячейка </w:t>
            </w:r>
            <w:proofErr w:type="gramStart"/>
            <w:r w:rsidRPr="00564EEE">
              <w:rPr>
                <w:sz w:val="12"/>
              </w:rPr>
              <w:t>ВЛ</w:t>
            </w:r>
            <w:proofErr w:type="gramEnd"/>
            <w:r w:rsidRPr="00564EEE">
              <w:rPr>
                <w:sz w:val="12"/>
              </w:rPr>
              <w:t xml:space="preserve"> 500 </w:t>
            </w:r>
            <w:proofErr w:type="spellStart"/>
            <w:r w:rsidRPr="00564EEE">
              <w:rPr>
                <w:sz w:val="12"/>
              </w:rPr>
              <w:t>кВ</w:t>
            </w:r>
            <w:proofErr w:type="spellEnd"/>
            <w:r w:rsidRPr="00564EEE">
              <w:rPr>
                <w:sz w:val="12"/>
              </w:rPr>
              <w:t xml:space="preserve">    </w:t>
            </w:r>
          </w:p>
        </w:tc>
        <w:tc>
          <w:tcPr>
            <w:tcW w:w="1656" w:type="dxa"/>
            <w:tcBorders>
              <w:top w:val="nil"/>
            </w:tcBorders>
          </w:tcPr>
          <w:p w:rsidR="00564EEE" w:rsidRPr="00564EEE" w:rsidRDefault="00564EEE">
            <w:pPr>
              <w:pStyle w:val="ConsPlusNonformat"/>
              <w:jc w:val="both"/>
            </w:pPr>
            <w:r w:rsidRPr="00564EEE">
              <w:rPr>
                <w:sz w:val="12"/>
              </w:rPr>
              <w:t xml:space="preserve">          3          </w:t>
            </w:r>
          </w:p>
        </w:tc>
        <w:tc>
          <w:tcPr>
            <w:tcW w:w="1224" w:type="dxa"/>
            <w:tcBorders>
              <w:top w:val="nil"/>
            </w:tcBorders>
          </w:tcPr>
          <w:p w:rsidR="00564EEE" w:rsidRPr="00564EEE" w:rsidRDefault="00564EEE">
            <w:pPr>
              <w:pStyle w:val="ConsPlusNonformat"/>
              <w:jc w:val="both"/>
            </w:pPr>
            <w:r w:rsidRPr="00564EEE">
              <w:rPr>
                <w:sz w:val="12"/>
              </w:rPr>
              <w:t xml:space="preserve">       2       </w:t>
            </w:r>
          </w:p>
        </w:tc>
        <w:tc>
          <w:tcPr>
            <w:tcW w:w="1368" w:type="dxa"/>
            <w:tcBorders>
              <w:top w:val="nil"/>
            </w:tcBorders>
          </w:tcPr>
          <w:p w:rsidR="00564EEE" w:rsidRPr="00564EEE" w:rsidRDefault="00564EEE">
            <w:pPr>
              <w:pStyle w:val="ConsPlusNonformat"/>
              <w:jc w:val="both"/>
            </w:pPr>
            <w:r w:rsidRPr="00564EEE">
              <w:rPr>
                <w:sz w:val="12"/>
              </w:rPr>
              <w:t xml:space="preserve">        1        </w:t>
            </w:r>
          </w:p>
        </w:tc>
        <w:tc>
          <w:tcPr>
            <w:tcW w:w="1584" w:type="dxa"/>
            <w:tcBorders>
              <w:top w:val="nil"/>
            </w:tcBorders>
          </w:tcPr>
          <w:p w:rsidR="00564EEE" w:rsidRPr="00564EEE" w:rsidRDefault="00564EEE">
            <w:pPr>
              <w:pStyle w:val="ConsPlusNonformat"/>
              <w:jc w:val="both"/>
            </w:pPr>
            <w:r w:rsidRPr="00564EEE">
              <w:rPr>
                <w:sz w:val="12"/>
              </w:rPr>
              <w:t xml:space="preserve">         9          </w:t>
            </w:r>
          </w:p>
        </w:tc>
        <w:tc>
          <w:tcPr>
            <w:tcW w:w="1152" w:type="dxa"/>
            <w:tcBorders>
              <w:top w:val="nil"/>
            </w:tcBorders>
          </w:tcPr>
          <w:p w:rsidR="00564EEE" w:rsidRPr="00564EEE" w:rsidRDefault="00564EEE">
            <w:pPr>
              <w:pStyle w:val="ConsPlusNonformat"/>
              <w:jc w:val="both"/>
            </w:pPr>
            <w:r w:rsidRPr="00564EEE">
              <w:rPr>
                <w:sz w:val="12"/>
              </w:rPr>
              <w:t xml:space="preserve">      11      </w:t>
            </w:r>
          </w:p>
        </w:tc>
        <w:tc>
          <w:tcPr>
            <w:tcW w:w="1224" w:type="dxa"/>
            <w:tcBorders>
              <w:top w:val="nil"/>
            </w:tcBorders>
          </w:tcPr>
          <w:p w:rsidR="00564EEE" w:rsidRPr="00564EEE" w:rsidRDefault="00564EEE">
            <w:pPr>
              <w:pStyle w:val="ConsPlusNonformat"/>
              <w:jc w:val="both"/>
            </w:pPr>
            <w:r w:rsidRPr="00564EEE">
              <w:rPr>
                <w:sz w:val="12"/>
              </w:rPr>
              <w:t xml:space="preserve">      26       </w:t>
            </w:r>
          </w:p>
        </w:tc>
      </w:tr>
      <w:tr w:rsidR="00564EEE" w:rsidRPr="00564EEE" w:rsidTr="00564EEE">
        <w:trPr>
          <w:trHeight w:val="140"/>
        </w:trPr>
        <w:tc>
          <w:tcPr>
            <w:tcW w:w="1584" w:type="dxa"/>
            <w:tcBorders>
              <w:top w:val="nil"/>
            </w:tcBorders>
          </w:tcPr>
          <w:p w:rsidR="00564EEE" w:rsidRPr="00564EEE" w:rsidRDefault="00564EEE">
            <w:pPr>
              <w:pStyle w:val="ConsPlusNonformat"/>
              <w:jc w:val="both"/>
            </w:pPr>
            <w:r w:rsidRPr="00564EEE">
              <w:rPr>
                <w:sz w:val="12"/>
              </w:rPr>
              <w:t xml:space="preserve">Ячейка </w:t>
            </w:r>
            <w:proofErr w:type="gramStart"/>
            <w:r w:rsidRPr="00564EEE">
              <w:rPr>
                <w:sz w:val="12"/>
              </w:rPr>
              <w:t>ВЛ</w:t>
            </w:r>
            <w:proofErr w:type="gramEnd"/>
            <w:r w:rsidRPr="00564EEE">
              <w:rPr>
                <w:sz w:val="12"/>
              </w:rPr>
              <w:t xml:space="preserve"> 220 </w:t>
            </w:r>
            <w:proofErr w:type="spellStart"/>
            <w:r w:rsidRPr="00564EEE">
              <w:rPr>
                <w:sz w:val="12"/>
              </w:rPr>
              <w:t>кВ</w:t>
            </w:r>
            <w:proofErr w:type="spellEnd"/>
            <w:r w:rsidRPr="00564EEE">
              <w:rPr>
                <w:sz w:val="12"/>
              </w:rPr>
              <w:t xml:space="preserve">    </w:t>
            </w:r>
          </w:p>
        </w:tc>
        <w:tc>
          <w:tcPr>
            <w:tcW w:w="1656" w:type="dxa"/>
            <w:tcBorders>
              <w:top w:val="nil"/>
            </w:tcBorders>
          </w:tcPr>
          <w:p w:rsidR="00564EEE" w:rsidRPr="00564EEE" w:rsidRDefault="00564EEE">
            <w:pPr>
              <w:pStyle w:val="ConsPlusNonformat"/>
              <w:jc w:val="both"/>
            </w:pPr>
            <w:r w:rsidRPr="00564EEE">
              <w:rPr>
                <w:sz w:val="12"/>
              </w:rPr>
              <w:t xml:space="preserve">          3          </w:t>
            </w:r>
          </w:p>
        </w:tc>
        <w:tc>
          <w:tcPr>
            <w:tcW w:w="1224" w:type="dxa"/>
            <w:tcBorders>
              <w:top w:val="nil"/>
            </w:tcBorders>
          </w:tcPr>
          <w:p w:rsidR="00564EEE" w:rsidRPr="00564EEE" w:rsidRDefault="00564EEE">
            <w:pPr>
              <w:pStyle w:val="ConsPlusNonformat"/>
              <w:jc w:val="both"/>
            </w:pPr>
            <w:r w:rsidRPr="00564EEE">
              <w:rPr>
                <w:sz w:val="12"/>
              </w:rPr>
              <w:t xml:space="preserve">       2       </w:t>
            </w:r>
          </w:p>
        </w:tc>
        <w:tc>
          <w:tcPr>
            <w:tcW w:w="1368" w:type="dxa"/>
            <w:tcBorders>
              <w:top w:val="nil"/>
            </w:tcBorders>
          </w:tcPr>
          <w:p w:rsidR="00564EEE" w:rsidRPr="00564EEE" w:rsidRDefault="00564EEE">
            <w:pPr>
              <w:pStyle w:val="ConsPlusNonformat"/>
              <w:jc w:val="both"/>
            </w:pPr>
            <w:r w:rsidRPr="00564EEE">
              <w:rPr>
                <w:sz w:val="12"/>
              </w:rPr>
              <w:t xml:space="preserve">        1        </w:t>
            </w:r>
          </w:p>
        </w:tc>
        <w:tc>
          <w:tcPr>
            <w:tcW w:w="1584" w:type="dxa"/>
            <w:tcBorders>
              <w:top w:val="nil"/>
            </w:tcBorders>
          </w:tcPr>
          <w:p w:rsidR="00564EEE" w:rsidRPr="00564EEE" w:rsidRDefault="00564EEE">
            <w:pPr>
              <w:pStyle w:val="ConsPlusNonformat"/>
              <w:jc w:val="both"/>
            </w:pPr>
            <w:r w:rsidRPr="00564EEE">
              <w:rPr>
                <w:sz w:val="12"/>
              </w:rPr>
              <w:t xml:space="preserve">         8          </w:t>
            </w:r>
          </w:p>
        </w:tc>
        <w:tc>
          <w:tcPr>
            <w:tcW w:w="1152" w:type="dxa"/>
            <w:tcBorders>
              <w:top w:val="nil"/>
            </w:tcBorders>
          </w:tcPr>
          <w:p w:rsidR="00564EEE" w:rsidRPr="00564EEE" w:rsidRDefault="00564EEE">
            <w:pPr>
              <w:pStyle w:val="ConsPlusNonformat"/>
              <w:jc w:val="both"/>
            </w:pPr>
            <w:r w:rsidRPr="00564EEE">
              <w:rPr>
                <w:sz w:val="12"/>
              </w:rPr>
              <w:t xml:space="preserve">      9       </w:t>
            </w:r>
          </w:p>
        </w:tc>
        <w:tc>
          <w:tcPr>
            <w:tcW w:w="1224" w:type="dxa"/>
            <w:tcBorders>
              <w:top w:val="nil"/>
            </w:tcBorders>
          </w:tcPr>
          <w:p w:rsidR="00564EEE" w:rsidRPr="00564EEE" w:rsidRDefault="00564EEE">
            <w:pPr>
              <w:pStyle w:val="ConsPlusNonformat"/>
              <w:jc w:val="both"/>
            </w:pPr>
            <w:r w:rsidRPr="00564EEE">
              <w:rPr>
                <w:sz w:val="12"/>
              </w:rPr>
              <w:t xml:space="preserve">      23       </w:t>
            </w:r>
          </w:p>
        </w:tc>
      </w:tr>
      <w:tr w:rsidR="00564EEE" w:rsidRPr="00564EEE" w:rsidTr="00564EEE">
        <w:trPr>
          <w:trHeight w:val="140"/>
        </w:trPr>
        <w:tc>
          <w:tcPr>
            <w:tcW w:w="1584" w:type="dxa"/>
            <w:tcBorders>
              <w:top w:val="nil"/>
            </w:tcBorders>
          </w:tcPr>
          <w:p w:rsidR="00564EEE" w:rsidRPr="00564EEE" w:rsidRDefault="00564EEE">
            <w:pPr>
              <w:pStyle w:val="ConsPlusNonformat"/>
              <w:jc w:val="both"/>
            </w:pPr>
            <w:r w:rsidRPr="00564EEE">
              <w:rPr>
                <w:sz w:val="12"/>
              </w:rPr>
              <w:t xml:space="preserve">Ячейка </w:t>
            </w:r>
            <w:proofErr w:type="gramStart"/>
            <w:r w:rsidRPr="00564EEE">
              <w:rPr>
                <w:sz w:val="12"/>
              </w:rPr>
              <w:t>ВЛ</w:t>
            </w:r>
            <w:proofErr w:type="gramEnd"/>
            <w:r w:rsidRPr="00564EEE">
              <w:rPr>
                <w:sz w:val="12"/>
              </w:rPr>
              <w:t xml:space="preserve"> 110 </w:t>
            </w:r>
            <w:proofErr w:type="spellStart"/>
            <w:r w:rsidRPr="00564EEE">
              <w:rPr>
                <w:sz w:val="12"/>
              </w:rPr>
              <w:t>кВ</w:t>
            </w:r>
            <w:proofErr w:type="spellEnd"/>
            <w:r w:rsidRPr="00564EEE">
              <w:rPr>
                <w:sz w:val="12"/>
              </w:rPr>
              <w:t xml:space="preserve">    </w:t>
            </w:r>
          </w:p>
        </w:tc>
        <w:tc>
          <w:tcPr>
            <w:tcW w:w="1656" w:type="dxa"/>
            <w:tcBorders>
              <w:top w:val="nil"/>
            </w:tcBorders>
          </w:tcPr>
          <w:p w:rsidR="00564EEE" w:rsidRPr="00564EEE" w:rsidRDefault="00564EEE">
            <w:pPr>
              <w:pStyle w:val="ConsPlusNonformat"/>
              <w:jc w:val="both"/>
            </w:pPr>
            <w:r w:rsidRPr="00564EEE">
              <w:rPr>
                <w:sz w:val="12"/>
              </w:rPr>
              <w:t xml:space="preserve">          3          </w:t>
            </w:r>
          </w:p>
        </w:tc>
        <w:tc>
          <w:tcPr>
            <w:tcW w:w="1224" w:type="dxa"/>
            <w:tcBorders>
              <w:top w:val="nil"/>
            </w:tcBorders>
          </w:tcPr>
          <w:p w:rsidR="00564EEE" w:rsidRPr="00564EEE" w:rsidRDefault="00564EEE">
            <w:pPr>
              <w:pStyle w:val="ConsPlusNonformat"/>
              <w:jc w:val="both"/>
            </w:pPr>
            <w:r w:rsidRPr="00564EEE">
              <w:rPr>
                <w:sz w:val="12"/>
              </w:rPr>
              <w:t xml:space="preserve">       2       </w:t>
            </w:r>
          </w:p>
        </w:tc>
        <w:tc>
          <w:tcPr>
            <w:tcW w:w="1368" w:type="dxa"/>
            <w:tcBorders>
              <w:top w:val="nil"/>
            </w:tcBorders>
          </w:tcPr>
          <w:p w:rsidR="00564EEE" w:rsidRPr="00564EEE" w:rsidRDefault="00564EEE">
            <w:pPr>
              <w:pStyle w:val="ConsPlusNonformat"/>
              <w:jc w:val="both"/>
            </w:pPr>
            <w:r w:rsidRPr="00564EEE">
              <w:rPr>
                <w:sz w:val="12"/>
              </w:rPr>
              <w:t xml:space="preserve">        1        </w:t>
            </w:r>
          </w:p>
        </w:tc>
        <w:tc>
          <w:tcPr>
            <w:tcW w:w="1584" w:type="dxa"/>
            <w:tcBorders>
              <w:top w:val="nil"/>
            </w:tcBorders>
          </w:tcPr>
          <w:p w:rsidR="00564EEE" w:rsidRPr="00564EEE" w:rsidRDefault="00564EEE">
            <w:pPr>
              <w:pStyle w:val="ConsPlusNonformat"/>
              <w:jc w:val="both"/>
            </w:pPr>
            <w:r w:rsidRPr="00564EEE">
              <w:rPr>
                <w:sz w:val="12"/>
              </w:rPr>
              <w:t xml:space="preserve">         7          </w:t>
            </w:r>
          </w:p>
        </w:tc>
        <w:tc>
          <w:tcPr>
            <w:tcW w:w="1152" w:type="dxa"/>
            <w:tcBorders>
              <w:top w:val="nil"/>
            </w:tcBorders>
          </w:tcPr>
          <w:p w:rsidR="00564EEE" w:rsidRPr="00564EEE" w:rsidRDefault="00564EEE">
            <w:pPr>
              <w:pStyle w:val="ConsPlusNonformat"/>
              <w:jc w:val="both"/>
            </w:pPr>
            <w:r w:rsidRPr="00564EEE">
              <w:rPr>
                <w:sz w:val="12"/>
              </w:rPr>
              <w:t xml:space="preserve">      8       </w:t>
            </w:r>
          </w:p>
        </w:tc>
        <w:tc>
          <w:tcPr>
            <w:tcW w:w="1224" w:type="dxa"/>
            <w:tcBorders>
              <w:top w:val="nil"/>
            </w:tcBorders>
          </w:tcPr>
          <w:p w:rsidR="00564EEE" w:rsidRPr="00564EEE" w:rsidRDefault="00564EEE">
            <w:pPr>
              <w:pStyle w:val="ConsPlusNonformat"/>
              <w:jc w:val="both"/>
            </w:pPr>
            <w:r w:rsidRPr="00564EEE">
              <w:rPr>
                <w:sz w:val="12"/>
              </w:rPr>
              <w:t xml:space="preserve">      21       </w:t>
            </w:r>
          </w:p>
        </w:tc>
      </w:tr>
      <w:tr w:rsidR="00564EEE" w:rsidRPr="00564EEE" w:rsidTr="00564EEE">
        <w:trPr>
          <w:trHeight w:val="140"/>
        </w:trPr>
        <w:tc>
          <w:tcPr>
            <w:tcW w:w="1584" w:type="dxa"/>
            <w:tcBorders>
              <w:top w:val="nil"/>
            </w:tcBorders>
          </w:tcPr>
          <w:p w:rsidR="00564EEE" w:rsidRPr="00564EEE" w:rsidRDefault="00564EEE">
            <w:pPr>
              <w:pStyle w:val="ConsPlusNonformat"/>
              <w:jc w:val="both"/>
            </w:pPr>
            <w:r w:rsidRPr="00564EEE">
              <w:rPr>
                <w:sz w:val="12"/>
              </w:rPr>
              <w:t xml:space="preserve">Ячейка </w:t>
            </w:r>
            <w:proofErr w:type="gramStart"/>
            <w:r w:rsidRPr="00564EEE">
              <w:rPr>
                <w:sz w:val="12"/>
              </w:rPr>
              <w:t>ВЛ</w:t>
            </w:r>
            <w:proofErr w:type="gramEnd"/>
            <w:r w:rsidRPr="00564EEE">
              <w:rPr>
                <w:sz w:val="12"/>
              </w:rPr>
              <w:t xml:space="preserve"> 35 </w:t>
            </w:r>
            <w:proofErr w:type="spellStart"/>
            <w:r w:rsidRPr="00564EEE">
              <w:rPr>
                <w:sz w:val="12"/>
              </w:rPr>
              <w:t>кВ</w:t>
            </w:r>
            <w:proofErr w:type="spellEnd"/>
            <w:r w:rsidRPr="00564EEE">
              <w:rPr>
                <w:sz w:val="12"/>
              </w:rPr>
              <w:t xml:space="preserve">     </w:t>
            </w:r>
          </w:p>
        </w:tc>
        <w:tc>
          <w:tcPr>
            <w:tcW w:w="1656" w:type="dxa"/>
            <w:tcBorders>
              <w:top w:val="nil"/>
            </w:tcBorders>
          </w:tcPr>
          <w:p w:rsidR="00564EEE" w:rsidRPr="00564EEE" w:rsidRDefault="00564EEE">
            <w:pPr>
              <w:pStyle w:val="ConsPlusNonformat"/>
              <w:jc w:val="both"/>
            </w:pPr>
            <w:r w:rsidRPr="00564EEE">
              <w:rPr>
                <w:sz w:val="12"/>
              </w:rPr>
              <w:t xml:space="preserve">          3          </w:t>
            </w:r>
          </w:p>
        </w:tc>
        <w:tc>
          <w:tcPr>
            <w:tcW w:w="1224" w:type="dxa"/>
            <w:tcBorders>
              <w:top w:val="nil"/>
            </w:tcBorders>
          </w:tcPr>
          <w:p w:rsidR="00564EEE" w:rsidRPr="00564EEE" w:rsidRDefault="00564EEE">
            <w:pPr>
              <w:pStyle w:val="ConsPlusNonformat"/>
              <w:jc w:val="both"/>
            </w:pPr>
            <w:r w:rsidRPr="00564EEE">
              <w:rPr>
                <w:sz w:val="12"/>
              </w:rPr>
              <w:t xml:space="preserve">       2       </w:t>
            </w:r>
          </w:p>
        </w:tc>
        <w:tc>
          <w:tcPr>
            <w:tcW w:w="1368" w:type="dxa"/>
            <w:tcBorders>
              <w:top w:val="nil"/>
            </w:tcBorders>
          </w:tcPr>
          <w:p w:rsidR="00564EEE" w:rsidRPr="00564EEE" w:rsidRDefault="00564EEE">
            <w:pPr>
              <w:pStyle w:val="ConsPlusNonformat"/>
              <w:jc w:val="both"/>
            </w:pPr>
            <w:r w:rsidRPr="00564EEE">
              <w:rPr>
                <w:sz w:val="12"/>
              </w:rPr>
              <w:t xml:space="preserve">        1        </w:t>
            </w:r>
          </w:p>
        </w:tc>
        <w:tc>
          <w:tcPr>
            <w:tcW w:w="1584" w:type="dxa"/>
            <w:tcBorders>
              <w:top w:val="nil"/>
            </w:tcBorders>
          </w:tcPr>
          <w:p w:rsidR="00564EEE" w:rsidRPr="00564EEE" w:rsidRDefault="00564EEE">
            <w:pPr>
              <w:pStyle w:val="ConsPlusNonformat"/>
              <w:jc w:val="both"/>
            </w:pPr>
            <w:r w:rsidRPr="00564EEE">
              <w:rPr>
                <w:sz w:val="12"/>
              </w:rPr>
              <w:t xml:space="preserve">         7          </w:t>
            </w:r>
          </w:p>
        </w:tc>
        <w:tc>
          <w:tcPr>
            <w:tcW w:w="1152" w:type="dxa"/>
            <w:tcBorders>
              <w:top w:val="nil"/>
            </w:tcBorders>
          </w:tcPr>
          <w:p w:rsidR="00564EEE" w:rsidRPr="00564EEE" w:rsidRDefault="00564EEE">
            <w:pPr>
              <w:pStyle w:val="ConsPlusNonformat"/>
              <w:jc w:val="both"/>
            </w:pPr>
            <w:r w:rsidRPr="00564EEE">
              <w:rPr>
                <w:sz w:val="12"/>
              </w:rPr>
              <w:t xml:space="preserve">      8       </w:t>
            </w:r>
          </w:p>
        </w:tc>
        <w:tc>
          <w:tcPr>
            <w:tcW w:w="1224" w:type="dxa"/>
            <w:tcBorders>
              <w:top w:val="nil"/>
            </w:tcBorders>
          </w:tcPr>
          <w:p w:rsidR="00564EEE" w:rsidRPr="00564EEE" w:rsidRDefault="00564EEE">
            <w:pPr>
              <w:pStyle w:val="ConsPlusNonformat"/>
              <w:jc w:val="both"/>
            </w:pPr>
            <w:r w:rsidRPr="00564EEE">
              <w:rPr>
                <w:sz w:val="12"/>
              </w:rPr>
              <w:t xml:space="preserve">      21       </w:t>
            </w:r>
          </w:p>
        </w:tc>
      </w:tr>
      <w:tr w:rsidR="00564EEE" w:rsidRPr="00564EEE" w:rsidTr="00564EEE">
        <w:trPr>
          <w:trHeight w:val="140"/>
        </w:trPr>
        <w:tc>
          <w:tcPr>
            <w:tcW w:w="1584" w:type="dxa"/>
            <w:tcBorders>
              <w:top w:val="nil"/>
            </w:tcBorders>
          </w:tcPr>
          <w:p w:rsidR="00564EEE" w:rsidRPr="00564EEE" w:rsidRDefault="00564EEE">
            <w:pPr>
              <w:pStyle w:val="ConsPlusNonformat"/>
              <w:jc w:val="both"/>
            </w:pPr>
            <w:r w:rsidRPr="00564EEE">
              <w:rPr>
                <w:sz w:val="12"/>
              </w:rPr>
              <w:t xml:space="preserve">Ячейка АТ 500 </w:t>
            </w:r>
            <w:proofErr w:type="spellStart"/>
            <w:r w:rsidRPr="00564EEE">
              <w:rPr>
                <w:sz w:val="12"/>
              </w:rPr>
              <w:t>кВ</w:t>
            </w:r>
            <w:proofErr w:type="spellEnd"/>
            <w:r w:rsidRPr="00564EEE">
              <w:rPr>
                <w:sz w:val="12"/>
              </w:rPr>
              <w:t xml:space="preserve">    </w:t>
            </w:r>
          </w:p>
        </w:tc>
        <w:tc>
          <w:tcPr>
            <w:tcW w:w="1656" w:type="dxa"/>
            <w:tcBorders>
              <w:top w:val="nil"/>
            </w:tcBorders>
          </w:tcPr>
          <w:p w:rsidR="00564EEE" w:rsidRPr="00564EEE" w:rsidRDefault="00564EEE">
            <w:pPr>
              <w:pStyle w:val="ConsPlusNonformat"/>
              <w:jc w:val="both"/>
            </w:pPr>
            <w:r w:rsidRPr="00564EEE">
              <w:rPr>
                <w:sz w:val="12"/>
              </w:rPr>
              <w:t xml:space="preserve">          3          </w:t>
            </w:r>
          </w:p>
        </w:tc>
        <w:tc>
          <w:tcPr>
            <w:tcW w:w="1224" w:type="dxa"/>
            <w:tcBorders>
              <w:top w:val="nil"/>
            </w:tcBorders>
          </w:tcPr>
          <w:p w:rsidR="00564EEE" w:rsidRPr="00564EEE" w:rsidRDefault="00564EEE">
            <w:pPr>
              <w:pStyle w:val="ConsPlusNonformat"/>
              <w:jc w:val="both"/>
            </w:pPr>
            <w:r w:rsidRPr="00564EEE">
              <w:rPr>
                <w:sz w:val="12"/>
              </w:rPr>
              <w:t xml:space="preserve">       2       </w:t>
            </w:r>
          </w:p>
        </w:tc>
        <w:tc>
          <w:tcPr>
            <w:tcW w:w="1368" w:type="dxa"/>
            <w:tcBorders>
              <w:top w:val="nil"/>
            </w:tcBorders>
          </w:tcPr>
          <w:p w:rsidR="00564EEE" w:rsidRPr="00564EEE" w:rsidRDefault="00564EEE">
            <w:pPr>
              <w:pStyle w:val="ConsPlusNonformat"/>
              <w:jc w:val="both"/>
            </w:pPr>
            <w:r w:rsidRPr="00564EEE">
              <w:rPr>
                <w:sz w:val="12"/>
              </w:rPr>
              <w:t xml:space="preserve">        1        </w:t>
            </w:r>
          </w:p>
        </w:tc>
        <w:tc>
          <w:tcPr>
            <w:tcW w:w="1584" w:type="dxa"/>
            <w:tcBorders>
              <w:top w:val="nil"/>
            </w:tcBorders>
          </w:tcPr>
          <w:p w:rsidR="00564EEE" w:rsidRPr="00564EEE" w:rsidRDefault="00564EEE">
            <w:pPr>
              <w:pStyle w:val="ConsPlusNonformat"/>
              <w:jc w:val="both"/>
            </w:pPr>
            <w:r w:rsidRPr="00564EEE">
              <w:rPr>
                <w:sz w:val="12"/>
              </w:rPr>
              <w:t xml:space="preserve">         9          </w:t>
            </w:r>
          </w:p>
        </w:tc>
        <w:tc>
          <w:tcPr>
            <w:tcW w:w="1152" w:type="dxa"/>
            <w:tcBorders>
              <w:top w:val="nil"/>
            </w:tcBorders>
          </w:tcPr>
          <w:p w:rsidR="00564EEE" w:rsidRPr="00564EEE" w:rsidRDefault="00564EEE">
            <w:pPr>
              <w:pStyle w:val="ConsPlusNonformat"/>
              <w:jc w:val="both"/>
            </w:pPr>
            <w:r w:rsidRPr="00564EEE">
              <w:rPr>
                <w:sz w:val="12"/>
              </w:rPr>
              <w:t xml:space="preserve">      12      </w:t>
            </w:r>
          </w:p>
        </w:tc>
        <w:tc>
          <w:tcPr>
            <w:tcW w:w="1224" w:type="dxa"/>
            <w:tcBorders>
              <w:top w:val="nil"/>
            </w:tcBorders>
          </w:tcPr>
          <w:p w:rsidR="00564EEE" w:rsidRPr="00564EEE" w:rsidRDefault="00564EEE">
            <w:pPr>
              <w:pStyle w:val="ConsPlusNonformat"/>
              <w:jc w:val="both"/>
            </w:pPr>
            <w:r w:rsidRPr="00564EEE">
              <w:rPr>
                <w:sz w:val="12"/>
              </w:rPr>
              <w:t xml:space="preserve">      27       </w:t>
            </w:r>
          </w:p>
        </w:tc>
      </w:tr>
      <w:tr w:rsidR="00564EEE" w:rsidRPr="00564EEE" w:rsidTr="00564EEE">
        <w:trPr>
          <w:trHeight w:val="140"/>
        </w:trPr>
        <w:tc>
          <w:tcPr>
            <w:tcW w:w="1584" w:type="dxa"/>
            <w:tcBorders>
              <w:top w:val="nil"/>
            </w:tcBorders>
          </w:tcPr>
          <w:p w:rsidR="00564EEE" w:rsidRPr="00564EEE" w:rsidRDefault="00564EEE">
            <w:pPr>
              <w:pStyle w:val="ConsPlusNonformat"/>
              <w:jc w:val="both"/>
            </w:pPr>
            <w:r w:rsidRPr="00564EEE">
              <w:rPr>
                <w:sz w:val="12"/>
              </w:rPr>
              <w:t xml:space="preserve">Ячейка АТ 220 </w:t>
            </w:r>
            <w:proofErr w:type="spellStart"/>
            <w:r w:rsidRPr="00564EEE">
              <w:rPr>
                <w:sz w:val="12"/>
              </w:rPr>
              <w:t>кВ</w:t>
            </w:r>
            <w:proofErr w:type="spellEnd"/>
            <w:r w:rsidRPr="00564EEE">
              <w:rPr>
                <w:sz w:val="12"/>
              </w:rPr>
              <w:t xml:space="preserve">    </w:t>
            </w:r>
          </w:p>
        </w:tc>
        <w:tc>
          <w:tcPr>
            <w:tcW w:w="1656" w:type="dxa"/>
            <w:tcBorders>
              <w:top w:val="nil"/>
            </w:tcBorders>
          </w:tcPr>
          <w:p w:rsidR="00564EEE" w:rsidRPr="00564EEE" w:rsidRDefault="00564EEE">
            <w:pPr>
              <w:pStyle w:val="ConsPlusNonformat"/>
              <w:jc w:val="both"/>
            </w:pPr>
            <w:r w:rsidRPr="00564EEE">
              <w:rPr>
                <w:sz w:val="12"/>
              </w:rPr>
              <w:t xml:space="preserve">          3          </w:t>
            </w:r>
          </w:p>
        </w:tc>
        <w:tc>
          <w:tcPr>
            <w:tcW w:w="1224" w:type="dxa"/>
            <w:tcBorders>
              <w:top w:val="nil"/>
            </w:tcBorders>
          </w:tcPr>
          <w:p w:rsidR="00564EEE" w:rsidRPr="00564EEE" w:rsidRDefault="00564EEE">
            <w:pPr>
              <w:pStyle w:val="ConsPlusNonformat"/>
              <w:jc w:val="both"/>
            </w:pPr>
            <w:r w:rsidRPr="00564EEE">
              <w:rPr>
                <w:sz w:val="12"/>
              </w:rPr>
              <w:t xml:space="preserve">       2       </w:t>
            </w:r>
          </w:p>
        </w:tc>
        <w:tc>
          <w:tcPr>
            <w:tcW w:w="1368" w:type="dxa"/>
            <w:tcBorders>
              <w:top w:val="nil"/>
            </w:tcBorders>
          </w:tcPr>
          <w:p w:rsidR="00564EEE" w:rsidRPr="00564EEE" w:rsidRDefault="00564EEE">
            <w:pPr>
              <w:pStyle w:val="ConsPlusNonformat"/>
              <w:jc w:val="both"/>
            </w:pPr>
            <w:r w:rsidRPr="00564EEE">
              <w:rPr>
                <w:sz w:val="12"/>
              </w:rPr>
              <w:t xml:space="preserve">        1        </w:t>
            </w:r>
          </w:p>
        </w:tc>
        <w:tc>
          <w:tcPr>
            <w:tcW w:w="1584" w:type="dxa"/>
            <w:tcBorders>
              <w:top w:val="nil"/>
            </w:tcBorders>
          </w:tcPr>
          <w:p w:rsidR="00564EEE" w:rsidRPr="00564EEE" w:rsidRDefault="00564EEE">
            <w:pPr>
              <w:pStyle w:val="ConsPlusNonformat"/>
              <w:jc w:val="both"/>
            </w:pPr>
            <w:r w:rsidRPr="00564EEE">
              <w:rPr>
                <w:sz w:val="12"/>
              </w:rPr>
              <w:t xml:space="preserve">         9          </w:t>
            </w:r>
          </w:p>
        </w:tc>
        <w:tc>
          <w:tcPr>
            <w:tcW w:w="1152" w:type="dxa"/>
            <w:tcBorders>
              <w:top w:val="nil"/>
            </w:tcBorders>
          </w:tcPr>
          <w:p w:rsidR="00564EEE" w:rsidRPr="00564EEE" w:rsidRDefault="00564EEE">
            <w:pPr>
              <w:pStyle w:val="ConsPlusNonformat"/>
              <w:jc w:val="both"/>
            </w:pPr>
            <w:r w:rsidRPr="00564EEE">
              <w:rPr>
                <w:sz w:val="12"/>
              </w:rPr>
              <w:t xml:space="preserve">      10      </w:t>
            </w:r>
          </w:p>
        </w:tc>
        <w:tc>
          <w:tcPr>
            <w:tcW w:w="1224" w:type="dxa"/>
            <w:tcBorders>
              <w:top w:val="nil"/>
            </w:tcBorders>
          </w:tcPr>
          <w:p w:rsidR="00564EEE" w:rsidRPr="00564EEE" w:rsidRDefault="00564EEE">
            <w:pPr>
              <w:pStyle w:val="ConsPlusNonformat"/>
              <w:jc w:val="both"/>
            </w:pPr>
            <w:r w:rsidRPr="00564EEE">
              <w:rPr>
                <w:sz w:val="12"/>
              </w:rPr>
              <w:t xml:space="preserve">      25       </w:t>
            </w:r>
          </w:p>
        </w:tc>
      </w:tr>
      <w:tr w:rsidR="00564EEE" w:rsidRPr="00564EEE" w:rsidTr="00564EEE">
        <w:trPr>
          <w:trHeight w:val="140"/>
        </w:trPr>
        <w:tc>
          <w:tcPr>
            <w:tcW w:w="1584" w:type="dxa"/>
            <w:tcBorders>
              <w:top w:val="nil"/>
            </w:tcBorders>
          </w:tcPr>
          <w:p w:rsidR="00564EEE" w:rsidRPr="00564EEE" w:rsidRDefault="00564EEE">
            <w:pPr>
              <w:pStyle w:val="ConsPlusNonformat"/>
              <w:jc w:val="both"/>
            </w:pPr>
            <w:r w:rsidRPr="00564EEE">
              <w:rPr>
                <w:sz w:val="12"/>
              </w:rPr>
              <w:t>Ячейка</w:t>
            </w:r>
            <w:proofErr w:type="gramStart"/>
            <w:r w:rsidRPr="00564EEE">
              <w:rPr>
                <w:sz w:val="12"/>
              </w:rPr>
              <w:t xml:space="preserve"> Т</w:t>
            </w:r>
            <w:proofErr w:type="gramEnd"/>
            <w:r w:rsidRPr="00564EEE">
              <w:rPr>
                <w:sz w:val="12"/>
              </w:rPr>
              <w:t xml:space="preserve"> 110 </w:t>
            </w:r>
            <w:proofErr w:type="spellStart"/>
            <w:r w:rsidRPr="00564EEE">
              <w:rPr>
                <w:sz w:val="12"/>
              </w:rPr>
              <w:t>кВ</w:t>
            </w:r>
            <w:proofErr w:type="spellEnd"/>
            <w:r w:rsidRPr="00564EEE">
              <w:rPr>
                <w:sz w:val="12"/>
              </w:rPr>
              <w:t xml:space="preserve">     </w:t>
            </w:r>
          </w:p>
        </w:tc>
        <w:tc>
          <w:tcPr>
            <w:tcW w:w="1656" w:type="dxa"/>
            <w:tcBorders>
              <w:top w:val="nil"/>
            </w:tcBorders>
          </w:tcPr>
          <w:p w:rsidR="00564EEE" w:rsidRPr="00564EEE" w:rsidRDefault="00564EEE">
            <w:pPr>
              <w:pStyle w:val="ConsPlusNonformat"/>
              <w:jc w:val="both"/>
            </w:pPr>
            <w:r w:rsidRPr="00564EEE">
              <w:rPr>
                <w:sz w:val="12"/>
              </w:rPr>
              <w:t xml:space="preserve">          3          </w:t>
            </w:r>
          </w:p>
        </w:tc>
        <w:tc>
          <w:tcPr>
            <w:tcW w:w="1224" w:type="dxa"/>
            <w:tcBorders>
              <w:top w:val="nil"/>
            </w:tcBorders>
          </w:tcPr>
          <w:p w:rsidR="00564EEE" w:rsidRPr="00564EEE" w:rsidRDefault="00564EEE">
            <w:pPr>
              <w:pStyle w:val="ConsPlusNonformat"/>
              <w:jc w:val="both"/>
            </w:pPr>
            <w:r w:rsidRPr="00564EEE">
              <w:rPr>
                <w:sz w:val="12"/>
              </w:rPr>
              <w:t xml:space="preserve">       2       </w:t>
            </w:r>
          </w:p>
        </w:tc>
        <w:tc>
          <w:tcPr>
            <w:tcW w:w="1368" w:type="dxa"/>
            <w:tcBorders>
              <w:top w:val="nil"/>
            </w:tcBorders>
          </w:tcPr>
          <w:p w:rsidR="00564EEE" w:rsidRPr="00564EEE" w:rsidRDefault="00564EEE">
            <w:pPr>
              <w:pStyle w:val="ConsPlusNonformat"/>
              <w:jc w:val="both"/>
            </w:pPr>
            <w:r w:rsidRPr="00564EEE">
              <w:rPr>
                <w:sz w:val="12"/>
              </w:rPr>
              <w:t xml:space="preserve">        1        </w:t>
            </w:r>
          </w:p>
        </w:tc>
        <w:tc>
          <w:tcPr>
            <w:tcW w:w="1584" w:type="dxa"/>
            <w:tcBorders>
              <w:top w:val="nil"/>
            </w:tcBorders>
          </w:tcPr>
          <w:p w:rsidR="00564EEE" w:rsidRPr="00564EEE" w:rsidRDefault="00564EEE">
            <w:pPr>
              <w:pStyle w:val="ConsPlusNonformat"/>
              <w:jc w:val="both"/>
            </w:pPr>
            <w:r w:rsidRPr="00564EEE">
              <w:rPr>
                <w:sz w:val="12"/>
              </w:rPr>
              <w:t xml:space="preserve">         7          </w:t>
            </w:r>
          </w:p>
        </w:tc>
        <w:tc>
          <w:tcPr>
            <w:tcW w:w="1152" w:type="dxa"/>
            <w:tcBorders>
              <w:top w:val="nil"/>
            </w:tcBorders>
          </w:tcPr>
          <w:p w:rsidR="00564EEE" w:rsidRPr="00564EEE" w:rsidRDefault="00564EEE">
            <w:pPr>
              <w:pStyle w:val="ConsPlusNonformat"/>
              <w:jc w:val="both"/>
            </w:pPr>
            <w:r w:rsidRPr="00564EEE">
              <w:rPr>
                <w:sz w:val="12"/>
              </w:rPr>
              <w:t xml:space="preserve">      9       </w:t>
            </w:r>
          </w:p>
        </w:tc>
        <w:tc>
          <w:tcPr>
            <w:tcW w:w="1224" w:type="dxa"/>
            <w:tcBorders>
              <w:top w:val="nil"/>
            </w:tcBorders>
          </w:tcPr>
          <w:p w:rsidR="00564EEE" w:rsidRPr="00564EEE" w:rsidRDefault="00564EEE">
            <w:pPr>
              <w:pStyle w:val="ConsPlusNonformat"/>
              <w:jc w:val="both"/>
            </w:pPr>
            <w:r w:rsidRPr="00564EEE">
              <w:rPr>
                <w:sz w:val="12"/>
              </w:rPr>
              <w:t xml:space="preserve">      22       </w:t>
            </w:r>
          </w:p>
        </w:tc>
      </w:tr>
      <w:tr w:rsidR="00564EEE" w:rsidRPr="00564EEE" w:rsidTr="00564EEE">
        <w:trPr>
          <w:trHeight w:val="140"/>
        </w:trPr>
        <w:tc>
          <w:tcPr>
            <w:tcW w:w="1584" w:type="dxa"/>
            <w:tcBorders>
              <w:top w:val="nil"/>
            </w:tcBorders>
          </w:tcPr>
          <w:p w:rsidR="00564EEE" w:rsidRPr="00564EEE" w:rsidRDefault="00564EEE">
            <w:pPr>
              <w:pStyle w:val="ConsPlusNonformat"/>
              <w:jc w:val="both"/>
            </w:pPr>
            <w:r w:rsidRPr="00564EEE">
              <w:rPr>
                <w:sz w:val="12"/>
              </w:rPr>
              <w:t>Ячейка</w:t>
            </w:r>
            <w:proofErr w:type="gramStart"/>
            <w:r w:rsidRPr="00564EEE">
              <w:rPr>
                <w:sz w:val="12"/>
              </w:rPr>
              <w:t xml:space="preserve"> Т</w:t>
            </w:r>
            <w:proofErr w:type="gramEnd"/>
            <w:r w:rsidRPr="00564EEE">
              <w:rPr>
                <w:sz w:val="12"/>
              </w:rPr>
              <w:t xml:space="preserve"> 35 </w:t>
            </w:r>
            <w:proofErr w:type="spellStart"/>
            <w:r w:rsidRPr="00564EEE">
              <w:rPr>
                <w:sz w:val="12"/>
              </w:rPr>
              <w:t>кВ</w:t>
            </w:r>
            <w:proofErr w:type="spellEnd"/>
            <w:r w:rsidRPr="00564EEE">
              <w:rPr>
                <w:sz w:val="12"/>
              </w:rPr>
              <w:t xml:space="preserve">      </w:t>
            </w:r>
          </w:p>
        </w:tc>
        <w:tc>
          <w:tcPr>
            <w:tcW w:w="1656" w:type="dxa"/>
            <w:tcBorders>
              <w:top w:val="nil"/>
            </w:tcBorders>
          </w:tcPr>
          <w:p w:rsidR="00564EEE" w:rsidRPr="00564EEE" w:rsidRDefault="00564EEE">
            <w:pPr>
              <w:pStyle w:val="ConsPlusNonformat"/>
              <w:jc w:val="both"/>
            </w:pPr>
            <w:r w:rsidRPr="00564EEE">
              <w:rPr>
                <w:sz w:val="12"/>
              </w:rPr>
              <w:t xml:space="preserve">          3          </w:t>
            </w:r>
          </w:p>
        </w:tc>
        <w:tc>
          <w:tcPr>
            <w:tcW w:w="1224" w:type="dxa"/>
            <w:tcBorders>
              <w:top w:val="nil"/>
            </w:tcBorders>
          </w:tcPr>
          <w:p w:rsidR="00564EEE" w:rsidRPr="00564EEE" w:rsidRDefault="00564EEE">
            <w:pPr>
              <w:pStyle w:val="ConsPlusNonformat"/>
              <w:jc w:val="both"/>
            </w:pPr>
            <w:r w:rsidRPr="00564EEE">
              <w:rPr>
                <w:sz w:val="12"/>
              </w:rPr>
              <w:t xml:space="preserve">       2       </w:t>
            </w:r>
          </w:p>
        </w:tc>
        <w:tc>
          <w:tcPr>
            <w:tcW w:w="1368" w:type="dxa"/>
            <w:tcBorders>
              <w:top w:val="nil"/>
            </w:tcBorders>
          </w:tcPr>
          <w:p w:rsidR="00564EEE" w:rsidRPr="00564EEE" w:rsidRDefault="00564EEE">
            <w:pPr>
              <w:pStyle w:val="ConsPlusNonformat"/>
              <w:jc w:val="both"/>
            </w:pPr>
            <w:r w:rsidRPr="00564EEE">
              <w:rPr>
                <w:sz w:val="12"/>
              </w:rPr>
              <w:t xml:space="preserve">        1        </w:t>
            </w:r>
          </w:p>
        </w:tc>
        <w:tc>
          <w:tcPr>
            <w:tcW w:w="1584" w:type="dxa"/>
            <w:tcBorders>
              <w:top w:val="nil"/>
            </w:tcBorders>
          </w:tcPr>
          <w:p w:rsidR="00564EEE" w:rsidRPr="00564EEE" w:rsidRDefault="00564EEE">
            <w:pPr>
              <w:pStyle w:val="ConsPlusNonformat"/>
              <w:jc w:val="both"/>
            </w:pPr>
            <w:r w:rsidRPr="00564EEE">
              <w:rPr>
                <w:sz w:val="12"/>
              </w:rPr>
              <w:t xml:space="preserve">         7          </w:t>
            </w:r>
          </w:p>
        </w:tc>
        <w:tc>
          <w:tcPr>
            <w:tcW w:w="1152" w:type="dxa"/>
            <w:tcBorders>
              <w:top w:val="nil"/>
            </w:tcBorders>
          </w:tcPr>
          <w:p w:rsidR="00564EEE" w:rsidRPr="00564EEE" w:rsidRDefault="00564EEE">
            <w:pPr>
              <w:pStyle w:val="ConsPlusNonformat"/>
              <w:jc w:val="both"/>
            </w:pPr>
            <w:r w:rsidRPr="00564EEE">
              <w:rPr>
                <w:sz w:val="12"/>
              </w:rPr>
              <w:t xml:space="preserve">      8       </w:t>
            </w:r>
          </w:p>
        </w:tc>
        <w:tc>
          <w:tcPr>
            <w:tcW w:w="1224" w:type="dxa"/>
            <w:tcBorders>
              <w:top w:val="nil"/>
            </w:tcBorders>
          </w:tcPr>
          <w:p w:rsidR="00564EEE" w:rsidRPr="00564EEE" w:rsidRDefault="00564EEE">
            <w:pPr>
              <w:pStyle w:val="ConsPlusNonformat"/>
              <w:jc w:val="both"/>
            </w:pPr>
            <w:r w:rsidRPr="00564EEE">
              <w:rPr>
                <w:sz w:val="12"/>
              </w:rPr>
              <w:t xml:space="preserve">      21       </w:t>
            </w:r>
          </w:p>
        </w:tc>
      </w:tr>
      <w:tr w:rsidR="00564EEE" w:rsidRPr="00564EEE" w:rsidTr="00564EEE">
        <w:trPr>
          <w:trHeight w:val="140"/>
        </w:trPr>
        <w:tc>
          <w:tcPr>
            <w:tcW w:w="1584" w:type="dxa"/>
            <w:tcBorders>
              <w:top w:val="nil"/>
            </w:tcBorders>
          </w:tcPr>
          <w:p w:rsidR="00564EEE" w:rsidRPr="00564EEE" w:rsidRDefault="00564EEE">
            <w:pPr>
              <w:pStyle w:val="ConsPlusNonformat"/>
              <w:jc w:val="both"/>
            </w:pPr>
            <w:r w:rsidRPr="00564EEE">
              <w:rPr>
                <w:sz w:val="12"/>
              </w:rPr>
              <w:t xml:space="preserve">Ячейка 6 - 10 </w:t>
            </w:r>
            <w:proofErr w:type="spellStart"/>
            <w:r w:rsidRPr="00564EEE">
              <w:rPr>
                <w:sz w:val="12"/>
              </w:rPr>
              <w:t>кВ</w:t>
            </w:r>
            <w:proofErr w:type="spellEnd"/>
            <w:r w:rsidRPr="00564EEE">
              <w:rPr>
                <w:sz w:val="12"/>
              </w:rPr>
              <w:t xml:space="preserve">    </w:t>
            </w:r>
          </w:p>
        </w:tc>
        <w:tc>
          <w:tcPr>
            <w:tcW w:w="1656" w:type="dxa"/>
            <w:tcBorders>
              <w:top w:val="nil"/>
            </w:tcBorders>
          </w:tcPr>
          <w:p w:rsidR="00564EEE" w:rsidRPr="00564EEE" w:rsidRDefault="00564EEE">
            <w:pPr>
              <w:pStyle w:val="ConsPlusNonformat"/>
              <w:jc w:val="both"/>
            </w:pPr>
            <w:r w:rsidRPr="00564EEE">
              <w:rPr>
                <w:sz w:val="12"/>
              </w:rPr>
              <w:t xml:space="preserve">          3          </w:t>
            </w:r>
          </w:p>
        </w:tc>
        <w:tc>
          <w:tcPr>
            <w:tcW w:w="1224" w:type="dxa"/>
            <w:tcBorders>
              <w:top w:val="nil"/>
            </w:tcBorders>
          </w:tcPr>
          <w:p w:rsidR="00564EEE" w:rsidRPr="00564EEE" w:rsidRDefault="00564EEE">
            <w:pPr>
              <w:pStyle w:val="ConsPlusNonformat"/>
              <w:jc w:val="both"/>
            </w:pPr>
            <w:r w:rsidRPr="00564EEE">
              <w:rPr>
                <w:sz w:val="12"/>
              </w:rPr>
              <w:t xml:space="preserve">       2       </w:t>
            </w:r>
          </w:p>
        </w:tc>
        <w:tc>
          <w:tcPr>
            <w:tcW w:w="1368" w:type="dxa"/>
            <w:tcBorders>
              <w:top w:val="nil"/>
            </w:tcBorders>
          </w:tcPr>
          <w:p w:rsidR="00564EEE" w:rsidRPr="00564EEE" w:rsidRDefault="00564EEE">
            <w:pPr>
              <w:pStyle w:val="ConsPlusNonformat"/>
              <w:jc w:val="both"/>
            </w:pPr>
            <w:r w:rsidRPr="00564EEE">
              <w:rPr>
                <w:sz w:val="12"/>
              </w:rPr>
              <w:t xml:space="preserve">        1        </w:t>
            </w:r>
          </w:p>
        </w:tc>
        <w:tc>
          <w:tcPr>
            <w:tcW w:w="1584" w:type="dxa"/>
            <w:tcBorders>
              <w:top w:val="nil"/>
            </w:tcBorders>
          </w:tcPr>
          <w:p w:rsidR="00564EEE" w:rsidRPr="00564EEE" w:rsidRDefault="00564EEE">
            <w:pPr>
              <w:pStyle w:val="ConsPlusNonformat"/>
              <w:jc w:val="both"/>
            </w:pPr>
            <w:r w:rsidRPr="00564EEE">
              <w:rPr>
                <w:sz w:val="12"/>
              </w:rPr>
              <w:t xml:space="preserve">         7          </w:t>
            </w:r>
          </w:p>
        </w:tc>
        <w:tc>
          <w:tcPr>
            <w:tcW w:w="1152" w:type="dxa"/>
            <w:tcBorders>
              <w:top w:val="nil"/>
            </w:tcBorders>
          </w:tcPr>
          <w:p w:rsidR="00564EEE" w:rsidRPr="00564EEE" w:rsidRDefault="00564EEE">
            <w:pPr>
              <w:pStyle w:val="ConsPlusNonformat"/>
              <w:jc w:val="both"/>
            </w:pPr>
            <w:r w:rsidRPr="00564EEE">
              <w:rPr>
                <w:sz w:val="12"/>
              </w:rPr>
              <w:t xml:space="preserve">      7       </w:t>
            </w:r>
          </w:p>
        </w:tc>
        <w:tc>
          <w:tcPr>
            <w:tcW w:w="1224" w:type="dxa"/>
            <w:tcBorders>
              <w:top w:val="nil"/>
            </w:tcBorders>
          </w:tcPr>
          <w:p w:rsidR="00564EEE" w:rsidRPr="00564EEE" w:rsidRDefault="00564EEE">
            <w:pPr>
              <w:pStyle w:val="ConsPlusNonformat"/>
              <w:jc w:val="both"/>
            </w:pPr>
            <w:r w:rsidRPr="00564EEE">
              <w:rPr>
                <w:sz w:val="12"/>
              </w:rPr>
              <w:t xml:space="preserve">      20       </w:t>
            </w:r>
          </w:p>
        </w:tc>
      </w:tr>
    </w:tbl>
    <w:p w:rsidR="00564EEE" w:rsidRPr="00564EEE" w:rsidRDefault="00564EEE">
      <w:pPr>
        <w:pStyle w:val="ConsPlusNormal"/>
        <w:ind w:firstLine="540"/>
        <w:jc w:val="both"/>
      </w:pPr>
    </w:p>
    <w:p w:rsidR="00564EEE" w:rsidRPr="00564EEE" w:rsidRDefault="00564EEE">
      <w:pPr>
        <w:pStyle w:val="ConsPlusNormal"/>
        <w:ind w:firstLine="540"/>
        <w:jc w:val="both"/>
      </w:pPr>
      <w:r w:rsidRPr="00564EEE">
        <w:t>--------------------------------</w:t>
      </w:r>
    </w:p>
    <w:p w:rsidR="00564EEE" w:rsidRPr="00564EEE" w:rsidRDefault="00564EEE">
      <w:pPr>
        <w:pStyle w:val="ConsPlusNormal"/>
        <w:ind w:firstLine="540"/>
        <w:jc w:val="both"/>
      </w:pPr>
      <w:r w:rsidRPr="00564EEE">
        <w:t>Примечание:</w:t>
      </w:r>
    </w:p>
    <w:p w:rsidR="00564EEE" w:rsidRPr="00564EEE" w:rsidRDefault="00564EEE">
      <w:pPr>
        <w:pStyle w:val="ConsPlusNormal"/>
        <w:ind w:firstLine="540"/>
        <w:jc w:val="both"/>
      </w:pPr>
      <w:bookmarkStart w:id="35" w:name="P492"/>
      <w:bookmarkEnd w:id="35"/>
      <w:r w:rsidRPr="00564EEE">
        <w:t xml:space="preserve">&lt;*&gt; Для исчисления сроков строительства объектов напряжением 330 </w:t>
      </w:r>
      <w:proofErr w:type="spellStart"/>
      <w:r w:rsidRPr="00564EEE">
        <w:t>кВ</w:t>
      </w:r>
      <w:proofErr w:type="spellEnd"/>
      <w:r w:rsidRPr="00564EEE">
        <w:t xml:space="preserve"> в качестве предельных сроков принимаются средние значения между сроками строительства объектов напряжением 500 </w:t>
      </w:r>
      <w:proofErr w:type="spellStart"/>
      <w:r w:rsidRPr="00564EEE">
        <w:t>кВ</w:t>
      </w:r>
      <w:proofErr w:type="spellEnd"/>
      <w:r w:rsidRPr="00564EEE">
        <w:t xml:space="preserve"> и 220 </w:t>
      </w:r>
      <w:proofErr w:type="spellStart"/>
      <w:r w:rsidRPr="00564EEE">
        <w:t>кВ</w:t>
      </w:r>
      <w:proofErr w:type="spellEnd"/>
      <w:r w:rsidRPr="00564EEE">
        <w:t xml:space="preserve">, указанными в Таблице 4. Сроки строительства объектов напряжением 750 </w:t>
      </w:r>
      <w:proofErr w:type="spellStart"/>
      <w:r w:rsidRPr="00564EEE">
        <w:t>кВ</w:t>
      </w:r>
      <w:proofErr w:type="spellEnd"/>
      <w:r w:rsidRPr="00564EEE">
        <w:t xml:space="preserve"> определяются путем умножения указанных в Таблице 4 сроков строительства объектов напряжением 500 </w:t>
      </w:r>
      <w:proofErr w:type="spellStart"/>
      <w:r w:rsidRPr="00564EEE">
        <w:t>кВ</w:t>
      </w:r>
      <w:proofErr w:type="spellEnd"/>
      <w:r w:rsidRPr="00564EEE">
        <w:t xml:space="preserve"> на повышающий коэффициент, устанавливаемый по согласованию между заявителем и сетевой организацией в пределах 1,4 - 1,7.</w:t>
      </w:r>
    </w:p>
    <w:p w:rsidR="00564EEE" w:rsidRPr="00564EEE" w:rsidRDefault="00564EEE">
      <w:pPr>
        <w:pStyle w:val="ConsPlusNormal"/>
        <w:ind w:firstLine="540"/>
        <w:jc w:val="both"/>
      </w:pPr>
    </w:p>
    <w:p w:rsidR="00564EEE" w:rsidRPr="00564EEE" w:rsidRDefault="00564EEE">
      <w:pPr>
        <w:pStyle w:val="ConsPlusNormal"/>
        <w:ind w:firstLine="540"/>
        <w:jc w:val="both"/>
      </w:pPr>
    </w:p>
    <w:p w:rsidR="00564EEE" w:rsidRPr="00564EEE" w:rsidRDefault="00564EEE">
      <w:pPr>
        <w:pStyle w:val="ConsPlusNormal"/>
        <w:pBdr>
          <w:top w:val="single" w:sz="6" w:space="0" w:color="auto"/>
        </w:pBdr>
        <w:spacing w:before="100" w:after="100"/>
        <w:jc w:val="both"/>
        <w:rPr>
          <w:sz w:val="2"/>
          <w:szCs w:val="2"/>
        </w:rPr>
      </w:pPr>
    </w:p>
    <w:p w:rsidR="005D50C6" w:rsidRPr="00564EEE" w:rsidRDefault="005D50C6"/>
    <w:sectPr w:rsidR="005D50C6" w:rsidRPr="00564EEE" w:rsidSect="00AE78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EEE"/>
    <w:rsid w:val="00564EEE"/>
    <w:rsid w:val="005D5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E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4E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4E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4E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4E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4E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4EE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E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4E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4E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4E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4E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4E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4EE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6285</Words>
  <Characters>35828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 Смирнов</dc:creator>
  <cp:lastModifiedBy>Алексей В. Смирнов</cp:lastModifiedBy>
  <cp:revision>1</cp:revision>
  <dcterms:created xsi:type="dcterms:W3CDTF">2016-03-01T12:46:00Z</dcterms:created>
  <dcterms:modified xsi:type="dcterms:W3CDTF">2016-03-01T12:48:00Z</dcterms:modified>
</cp:coreProperties>
</file>